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C9" w:rsidRPr="009F5CC9" w:rsidRDefault="009F5CC9" w:rsidP="009F5CC9">
      <w:pPr>
        <w:widowControl/>
        <w:shd w:val="clear" w:color="auto" w:fill="FFFFFF"/>
        <w:spacing w:line="440" w:lineRule="exact"/>
        <w:jc w:val="center"/>
        <w:rPr>
          <w:rFonts w:ascii="宋体" w:eastAsia="宋体" w:hAnsi="宋体" w:cs="宋体"/>
          <w:color w:val="000000" w:themeColor="text1"/>
          <w:kern w:val="0"/>
          <w:sz w:val="22"/>
        </w:rPr>
      </w:pPr>
      <w:r w:rsidRPr="009F5CC9">
        <w:rPr>
          <w:rFonts w:ascii="方正小标宋_GBK" w:eastAsia="方正小标宋_GBK" w:hAnsi="Times New Roman" w:cs="Times New Roman"/>
          <w:color w:val="000000" w:themeColor="text1"/>
          <w:kern w:val="0"/>
          <w:sz w:val="22"/>
        </w:rPr>
        <w:t>湖南省财政厅关于印发《湖南省省级行政事业单位通用办公设备和办公家具配置限额标准》的通知</w:t>
      </w:r>
    </w:p>
    <w:p w:rsidR="009F5CC9" w:rsidRPr="009F5CC9" w:rsidRDefault="009F5CC9" w:rsidP="009F5CC9">
      <w:pPr>
        <w:widowControl/>
        <w:shd w:val="clear" w:color="auto" w:fill="FFFFFF"/>
        <w:spacing w:line="440" w:lineRule="exact"/>
        <w:jc w:val="left"/>
        <w:rPr>
          <w:rFonts w:ascii="宋体" w:eastAsia="宋体" w:hAnsi="宋体" w:cs="宋体"/>
          <w:color w:val="000000" w:themeColor="text1"/>
          <w:kern w:val="0"/>
          <w:sz w:val="22"/>
        </w:rPr>
      </w:pPr>
      <w:r w:rsidRPr="009F5CC9">
        <w:rPr>
          <w:rFonts w:ascii="Times New Roman" w:eastAsia="宋体" w:hAnsi="Times New Roman" w:cs="Times New Roman"/>
          <w:color w:val="000000" w:themeColor="text1"/>
          <w:kern w:val="0"/>
          <w:sz w:val="22"/>
        </w:rPr>
        <w:t> </w:t>
      </w:r>
    </w:p>
    <w:p w:rsidR="009F5CC9" w:rsidRPr="009F5CC9" w:rsidRDefault="009F5CC9" w:rsidP="009F5CC9">
      <w:pPr>
        <w:widowControl/>
        <w:shd w:val="clear" w:color="auto" w:fill="FFFFFF"/>
        <w:spacing w:line="440" w:lineRule="exact"/>
        <w:jc w:val="left"/>
        <w:rPr>
          <w:rFonts w:ascii="宋体" w:eastAsia="宋体" w:hAnsi="宋体" w:cs="宋体"/>
          <w:color w:val="000000" w:themeColor="text1"/>
          <w:kern w:val="0"/>
          <w:sz w:val="22"/>
        </w:rPr>
      </w:pPr>
      <w:bookmarkStart w:id="0" w:name="_GoBack"/>
      <w:r w:rsidRPr="009F5CC9">
        <w:rPr>
          <w:rFonts w:ascii="仿宋_GB2312" w:eastAsia="仿宋_GB2312" w:hAnsi="Times New Roman" w:cs="Times New Roman"/>
          <w:color w:val="000000" w:themeColor="text1"/>
          <w:kern w:val="0"/>
          <w:sz w:val="22"/>
        </w:rPr>
        <w:t>省直各单位：</w:t>
      </w:r>
    </w:p>
    <w:p w:rsidR="009F5CC9" w:rsidRPr="009F5CC9" w:rsidRDefault="009F5CC9" w:rsidP="009F5CC9">
      <w:pPr>
        <w:widowControl/>
        <w:shd w:val="clear" w:color="auto" w:fill="FFFFFF"/>
        <w:spacing w:line="440" w:lineRule="exact"/>
        <w:ind w:firstLine="640"/>
        <w:jc w:val="left"/>
        <w:rPr>
          <w:rFonts w:ascii="宋体" w:eastAsia="宋体" w:hAnsi="宋体" w:cs="宋体"/>
          <w:color w:val="000000" w:themeColor="text1"/>
          <w:kern w:val="0"/>
          <w:sz w:val="22"/>
        </w:rPr>
      </w:pPr>
      <w:r w:rsidRPr="009F5CC9">
        <w:rPr>
          <w:rFonts w:ascii="仿宋_GB2312" w:eastAsia="仿宋_GB2312" w:hAnsi="Times New Roman" w:cs="Times New Roman"/>
          <w:color w:val="000000" w:themeColor="text1"/>
          <w:kern w:val="0"/>
          <w:sz w:val="22"/>
        </w:rPr>
        <w:t>为深入贯彻《中华人民共和国预算法》有关规定，进一步加强省级行政事业单位国有资产配置管理，健全省级预算标准体系和资产配置标准体系，保障省级行政事业单位正常运行，推进资产管理与预算管理有机结合，提高预算编制的科学化、精细化水平，我们根据《湖南省省直行政事业单位国有资产配置管理办法》，</w:t>
      </w:r>
      <w:r w:rsidRPr="009F5CC9">
        <w:rPr>
          <w:rFonts w:ascii="仿宋_GB2312" w:eastAsia="仿宋_GB2312" w:hAnsi="宋体" w:cs="宋体" w:hint="eastAsia"/>
          <w:color w:val="000000" w:themeColor="text1"/>
          <w:kern w:val="0"/>
          <w:sz w:val="22"/>
        </w:rPr>
        <w:t>参照《中央行政单位通用办公设备家具配置标准》，</w:t>
      </w:r>
      <w:r w:rsidRPr="009F5CC9">
        <w:rPr>
          <w:rFonts w:ascii="仿宋_GB2312" w:eastAsia="仿宋_GB2312" w:hAnsi="Times New Roman" w:cs="Times New Roman"/>
          <w:color w:val="000000" w:themeColor="text1"/>
          <w:kern w:val="0"/>
          <w:sz w:val="22"/>
        </w:rPr>
        <w:t>结合</w:t>
      </w:r>
      <w:r w:rsidRPr="009F5CC9">
        <w:rPr>
          <w:rFonts w:ascii="仿宋_GB2312" w:eastAsia="仿宋_GB2312" w:hAnsi="宋体" w:cs="宋体" w:hint="eastAsia"/>
          <w:color w:val="000000" w:themeColor="text1"/>
          <w:kern w:val="0"/>
          <w:sz w:val="22"/>
        </w:rPr>
        <w:t>我省</w:t>
      </w:r>
      <w:r w:rsidRPr="009F5CC9">
        <w:rPr>
          <w:rFonts w:ascii="仿宋_GB2312" w:eastAsia="仿宋_GB2312" w:hAnsi="Times New Roman" w:cs="Times New Roman"/>
          <w:color w:val="000000" w:themeColor="text1"/>
          <w:kern w:val="0"/>
          <w:sz w:val="22"/>
        </w:rPr>
        <w:t>社会经济发展水平、市场价格变化因素，对省级行政事业单位现行的部分国有资产配置标准进行了调整和更新，制定了《湖南省省级行政事业单位通用办公设备和办公家具配置限额标准》（以下简称《标准》），现印发给你们，并就有关事项通知如下，请遵照执行。</w:t>
      </w:r>
    </w:p>
    <w:p w:rsidR="009F5CC9" w:rsidRPr="009F5CC9" w:rsidRDefault="009F5CC9" w:rsidP="009F5CC9">
      <w:pPr>
        <w:widowControl/>
        <w:shd w:val="clear" w:color="auto" w:fill="FFFFFF"/>
        <w:spacing w:line="440" w:lineRule="exact"/>
        <w:ind w:firstLine="640"/>
        <w:jc w:val="left"/>
        <w:rPr>
          <w:rFonts w:ascii="宋体" w:eastAsia="宋体" w:hAnsi="宋体" w:cs="宋体"/>
          <w:color w:val="000000" w:themeColor="text1"/>
          <w:kern w:val="0"/>
          <w:sz w:val="22"/>
        </w:rPr>
      </w:pPr>
      <w:r w:rsidRPr="009F5CC9">
        <w:rPr>
          <w:rFonts w:ascii="仿宋_GB2312" w:eastAsia="仿宋_GB2312" w:hAnsi="Times New Roman" w:cs="Times New Roman"/>
          <w:color w:val="000000" w:themeColor="text1"/>
          <w:kern w:val="0"/>
          <w:sz w:val="22"/>
        </w:rPr>
        <w:t>一、《标准》适用于省级党的机关、人大机关、行政机关、政协机关、</w:t>
      </w:r>
      <w:r w:rsidRPr="009F5CC9">
        <w:rPr>
          <w:rFonts w:ascii="仿宋_GB2312" w:eastAsia="仿宋_GB2312" w:hAnsi="宋体" w:cs="宋体" w:hint="eastAsia"/>
          <w:color w:val="000000" w:themeColor="text1"/>
          <w:kern w:val="0"/>
          <w:sz w:val="22"/>
        </w:rPr>
        <w:t>监察机关、</w:t>
      </w:r>
      <w:r w:rsidRPr="009F5CC9">
        <w:rPr>
          <w:rFonts w:ascii="仿宋_GB2312" w:eastAsia="仿宋_GB2312" w:hAnsi="Times New Roman" w:cs="Times New Roman"/>
          <w:color w:val="000000" w:themeColor="text1"/>
          <w:kern w:val="0"/>
          <w:sz w:val="22"/>
        </w:rPr>
        <w:t>审判机关、检察机关、民主党派机关、工会、共青团、妇联等人民团体和各类事业单位（以下简称省级单位）。</w:t>
      </w:r>
    </w:p>
    <w:p w:rsidR="009F5CC9" w:rsidRPr="009F5CC9" w:rsidRDefault="009F5CC9" w:rsidP="009F5CC9">
      <w:pPr>
        <w:widowControl/>
        <w:shd w:val="clear" w:color="auto" w:fill="FFFFFF"/>
        <w:spacing w:line="440" w:lineRule="exact"/>
        <w:ind w:firstLine="640"/>
        <w:jc w:val="left"/>
        <w:rPr>
          <w:rFonts w:ascii="宋体" w:eastAsia="宋体" w:hAnsi="宋体" w:cs="宋体"/>
          <w:color w:val="000000" w:themeColor="text1"/>
          <w:kern w:val="0"/>
          <w:sz w:val="22"/>
        </w:rPr>
      </w:pPr>
      <w:r w:rsidRPr="009F5CC9">
        <w:rPr>
          <w:rFonts w:ascii="仿宋_GB2312" w:eastAsia="仿宋_GB2312" w:hAnsi="Times New Roman" w:cs="Times New Roman"/>
          <w:color w:val="000000" w:themeColor="text1"/>
          <w:kern w:val="0"/>
          <w:sz w:val="22"/>
        </w:rPr>
        <w:t>二、《标准》所称通用办公设备、家具，是</w:t>
      </w:r>
      <w:proofErr w:type="gramStart"/>
      <w:r w:rsidRPr="009F5CC9">
        <w:rPr>
          <w:rFonts w:ascii="仿宋_GB2312" w:eastAsia="仿宋_GB2312" w:hAnsi="Times New Roman" w:cs="Times New Roman"/>
          <w:color w:val="000000" w:themeColor="text1"/>
          <w:kern w:val="0"/>
          <w:sz w:val="22"/>
        </w:rPr>
        <w:t>指普遍</w:t>
      </w:r>
      <w:proofErr w:type="gramEnd"/>
      <w:r w:rsidRPr="009F5CC9">
        <w:rPr>
          <w:rFonts w:ascii="仿宋_GB2312" w:eastAsia="仿宋_GB2312" w:hAnsi="Times New Roman" w:cs="Times New Roman"/>
          <w:color w:val="000000" w:themeColor="text1"/>
          <w:kern w:val="0"/>
          <w:sz w:val="22"/>
        </w:rPr>
        <w:t>适用于省级单位，满足办公基本需求的设备、家具，不含专业类设备、家具。具体是指</w:t>
      </w:r>
      <w:r w:rsidRPr="009F5CC9">
        <w:rPr>
          <w:rFonts w:ascii="Times New Roman" w:eastAsia="宋体" w:hAnsi="Times New Roman" w:cs="Times New Roman"/>
          <w:color w:val="000000" w:themeColor="text1"/>
          <w:kern w:val="0"/>
          <w:sz w:val="22"/>
        </w:rPr>
        <w:t>:</w:t>
      </w:r>
    </w:p>
    <w:p w:rsidR="009F5CC9" w:rsidRPr="009F5CC9" w:rsidRDefault="009F5CC9" w:rsidP="009F5CC9">
      <w:pPr>
        <w:widowControl/>
        <w:shd w:val="clear" w:color="auto" w:fill="FFFFFF"/>
        <w:spacing w:line="440" w:lineRule="exact"/>
        <w:ind w:firstLine="640"/>
        <w:jc w:val="left"/>
        <w:rPr>
          <w:rFonts w:ascii="宋体" w:eastAsia="宋体" w:hAnsi="宋体" w:cs="宋体"/>
          <w:color w:val="000000" w:themeColor="text1"/>
          <w:kern w:val="0"/>
          <w:sz w:val="22"/>
        </w:rPr>
      </w:pPr>
      <w:r w:rsidRPr="009F5CC9">
        <w:rPr>
          <w:rFonts w:ascii="Times New Roman" w:eastAsia="宋体" w:hAnsi="Times New Roman" w:cs="Times New Roman"/>
          <w:color w:val="000000" w:themeColor="text1"/>
          <w:kern w:val="0"/>
          <w:sz w:val="22"/>
        </w:rPr>
        <w:t> (</w:t>
      </w:r>
      <w:proofErr w:type="gramStart"/>
      <w:r w:rsidRPr="009F5CC9">
        <w:rPr>
          <w:rFonts w:ascii="仿宋_GB2312" w:eastAsia="仿宋_GB2312" w:hAnsi="Times New Roman" w:cs="Times New Roman"/>
          <w:color w:val="000000" w:themeColor="text1"/>
          <w:kern w:val="0"/>
          <w:sz w:val="22"/>
        </w:rPr>
        <w:t>一</w:t>
      </w:r>
      <w:proofErr w:type="gramEnd"/>
      <w:r w:rsidRPr="009F5CC9">
        <w:rPr>
          <w:rFonts w:ascii="Times New Roman" w:eastAsia="宋体" w:hAnsi="Times New Roman" w:cs="Times New Roman"/>
          <w:color w:val="000000" w:themeColor="text1"/>
          <w:kern w:val="0"/>
          <w:sz w:val="22"/>
        </w:rPr>
        <w:t>)</w:t>
      </w:r>
      <w:r w:rsidRPr="009F5CC9">
        <w:rPr>
          <w:rFonts w:ascii="仿宋_GB2312" w:eastAsia="仿宋_GB2312" w:hAnsi="Times New Roman" w:cs="Times New Roman"/>
          <w:color w:val="000000" w:themeColor="text1"/>
          <w:kern w:val="0"/>
          <w:sz w:val="22"/>
        </w:rPr>
        <w:t>通用办公设备。包括计算机、打印机、复印机、扫描仪、一体机（传真机）、碎纸机、投影仪、数码摄录设备、空调设备、会议室音响设备等。</w:t>
      </w:r>
    </w:p>
    <w:p w:rsidR="009F5CC9" w:rsidRPr="009F5CC9" w:rsidRDefault="009F5CC9" w:rsidP="009F5CC9">
      <w:pPr>
        <w:widowControl/>
        <w:shd w:val="clear" w:color="auto" w:fill="FFFFFF"/>
        <w:spacing w:line="440" w:lineRule="exact"/>
        <w:ind w:firstLine="640"/>
        <w:jc w:val="left"/>
        <w:rPr>
          <w:rFonts w:ascii="宋体" w:eastAsia="宋体" w:hAnsi="宋体" w:cs="宋体"/>
          <w:color w:val="000000" w:themeColor="text1"/>
          <w:kern w:val="0"/>
          <w:sz w:val="22"/>
        </w:rPr>
      </w:pPr>
      <w:r w:rsidRPr="009F5CC9">
        <w:rPr>
          <w:rFonts w:ascii="Times New Roman" w:eastAsia="宋体" w:hAnsi="Times New Roman" w:cs="Times New Roman"/>
          <w:color w:val="000000" w:themeColor="text1"/>
          <w:kern w:val="0"/>
          <w:sz w:val="22"/>
        </w:rPr>
        <w:t> (</w:t>
      </w:r>
      <w:r w:rsidRPr="009F5CC9">
        <w:rPr>
          <w:rFonts w:ascii="仿宋_GB2312" w:eastAsia="仿宋_GB2312" w:hAnsi="Times New Roman" w:cs="Times New Roman"/>
          <w:color w:val="000000" w:themeColor="text1"/>
          <w:kern w:val="0"/>
          <w:sz w:val="22"/>
        </w:rPr>
        <w:t>二</w:t>
      </w:r>
      <w:r w:rsidRPr="009F5CC9">
        <w:rPr>
          <w:rFonts w:ascii="Times New Roman" w:eastAsia="宋体" w:hAnsi="Times New Roman" w:cs="Times New Roman"/>
          <w:color w:val="000000" w:themeColor="text1"/>
          <w:kern w:val="0"/>
          <w:sz w:val="22"/>
        </w:rPr>
        <w:t>)</w:t>
      </w:r>
      <w:r w:rsidRPr="009F5CC9">
        <w:rPr>
          <w:rFonts w:ascii="仿宋_GB2312" w:eastAsia="仿宋_GB2312" w:hAnsi="Times New Roman" w:cs="Times New Roman"/>
          <w:color w:val="000000" w:themeColor="text1"/>
          <w:kern w:val="0"/>
          <w:sz w:val="22"/>
        </w:rPr>
        <w:t>通用办公家具。包括办公桌、办公椅、沙发、茶几、桌前椅、书柜、文件柜、更衣柜、保密柜、茶水柜、会议桌、会议椅等。</w:t>
      </w:r>
    </w:p>
    <w:p w:rsidR="009F5CC9" w:rsidRPr="009F5CC9" w:rsidRDefault="009F5CC9" w:rsidP="009F5CC9">
      <w:pPr>
        <w:widowControl/>
        <w:shd w:val="clear" w:color="auto" w:fill="FFFFFF"/>
        <w:spacing w:line="440" w:lineRule="exact"/>
        <w:ind w:firstLine="640"/>
        <w:jc w:val="left"/>
        <w:rPr>
          <w:rFonts w:ascii="宋体" w:eastAsia="宋体" w:hAnsi="宋体" w:cs="宋体"/>
          <w:color w:val="000000" w:themeColor="text1"/>
          <w:kern w:val="0"/>
          <w:sz w:val="22"/>
        </w:rPr>
      </w:pPr>
      <w:r w:rsidRPr="009F5CC9">
        <w:rPr>
          <w:rFonts w:ascii="仿宋_GB2312" w:eastAsia="仿宋_GB2312" w:hAnsi="Times New Roman" w:cs="Times New Roman"/>
          <w:color w:val="000000" w:themeColor="text1"/>
          <w:kern w:val="0"/>
          <w:sz w:val="22"/>
        </w:rPr>
        <w:t>三、《标准》是省级预算标准体系和资产配置标准体系的重要组成部分，是编制和审核资产配置计划和配置预算，实施</w:t>
      </w:r>
      <w:r w:rsidRPr="009F5CC9">
        <w:rPr>
          <w:rFonts w:ascii="仿宋_GB2312" w:eastAsia="仿宋_GB2312" w:hAnsi="宋体" w:cs="宋体" w:hint="eastAsia"/>
          <w:color w:val="000000" w:themeColor="text1"/>
          <w:kern w:val="0"/>
          <w:sz w:val="22"/>
        </w:rPr>
        <w:t>财政评审、</w:t>
      </w:r>
      <w:r w:rsidRPr="009F5CC9">
        <w:rPr>
          <w:rFonts w:ascii="仿宋_GB2312" w:eastAsia="仿宋_GB2312" w:hAnsi="Times New Roman" w:cs="Times New Roman"/>
          <w:color w:val="000000" w:themeColor="text1"/>
          <w:kern w:val="0"/>
          <w:sz w:val="22"/>
        </w:rPr>
        <w:t>政府采购和资产处置管理等工作的基本依据。</w:t>
      </w:r>
    </w:p>
    <w:p w:rsidR="009F5CC9" w:rsidRPr="009F5CC9" w:rsidRDefault="009F5CC9" w:rsidP="009F5CC9">
      <w:pPr>
        <w:widowControl/>
        <w:shd w:val="clear" w:color="auto" w:fill="FFFFFF"/>
        <w:spacing w:line="440" w:lineRule="exact"/>
        <w:ind w:firstLine="640"/>
        <w:jc w:val="left"/>
        <w:rPr>
          <w:rFonts w:ascii="宋体" w:eastAsia="宋体" w:hAnsi="宋体" w:cs="宋体"/>
          <w:color w:val="000000" w:themeColor="text1"/>
          <w:kern w:val="0"/>
          <w:sz w:val="22"/>
        </w:rPr>
      </w:pPr>
      <w:r w:rsidRPr="009F5CC9">
        <w:rPr>
          <w:rFonts w:ascii="仿宋_GB2312" w:eastAsia="仿宋_GB2312" w:hAnsi="Times New Roman" w:cs="Times New Roman"/>
          <w:color w:val="000000" w:themeColor="text1"/>
          <w:kern w:val="0"/>
          <w:sz w:val="22"/>
        </w:rPr>
        <w:t>四、《标准》包括资产品目、实物量上限、预算上限、最低使用年限、性能要求。</w:t>
      </w:r>
    </w:p>
    <w:p w:rsidR="009F5CC9" w:rsidRPr="009F5CC9" w:rsidRDefault="009F5CC9" w:rsidP="009F5CC9">
      <w:pPr>
        <w:widowControl/>
        <w:shd w:val="clear" w:color="auto" w:fill="FFFFFF"/>
        <w:spacing w:line="440" w:lineRule="exact"/>
        <w:ind w:firstLine="643"/>
        <w:jc w:val="left"/>
        <w:rPr>
          <w:rFonts w:ascii="宋体" w:eastAsia="宋体" w:hAnsi="宋体" w:cs="宋体"/>
          <w:color w:val="000000" w:themeColor="text1"/>
          <w:kern w:val="0"/>
          <w:sz w:val="22"/>
        </w:rPr>
      </w:pPr>
      <w:r w:rsidRPr="009F5CC9">
        <w:rPr>
          <w:rFonts w:ascii="仿宋_GB2312" w:eastAsia="仿宋_GB2312" w:hAnsi="Times New Roman" w:cs="Times New Roman"/>
          <w:color w:val="000000" w:themeColor="text1"/>
          <w:kern w:val="0"/>
          <w:sz w:val="22"/>
        </w:rPr>
        <w:t>资产品目根据办公设备、家具普遍适用程度确定。</w:t>
      </w:r>
    </w:p>
    <w:p w:rsidR="009F5CC9" w:rsidRPr="009F5CC9" w:rsidRDefault="009F5CC9" w:rsidP="009F5CC9">
      <w:pPr>
        <w:widowControl/>
        <w:shd w:val="clear" w:color="auto" w:fill="FFFFFF"/>
        <w:spacing w:line="440" w:lineRule="exact"/>
        <w:ind w:firstLine="643"/>
        <w:jc w:val="left"/>
        <w:rPr>
          <w:rFonts w:ascii="宋体" w:eastAsia="宋体" w:hAnsi="宋体" w:cs="宋体"/>
          <w:color w:val="000000" w:themeColor="text1"/>
          <w:kern w:val="0"/>
          <w:sz w:val="22"/>
        </w:rPr>
      </w:pPr>
      <w:r w:rsidRPr="009F5CC9">
        <w:rPr>
          <w:rFonts w:ascii="仿宋_GB2312" w:eastAsia="仿宋_GB2312" w:hAnsi="Times New Roman" w:cs="Times New Roman"/>
          <w:color w:val="000000" w:themeColor="text1"/>
          <w:kern w:val="0"/>
          <w:sz w:val="22"/>
        </w:rPr>
        <w:t>实物量上限是指</w:t>
      </w:r>
      <w:r w:rsidRPr="009F5CC9">
        <w:rPr>
          <w:rFonts w:ascii="仿宋_GB2312" w:eastAsia="仿宋_GB2312" w:hAnsi="宋体" w:cs="宋体" w:hint="eastAsia"/>
          <w:color w:val="000000" w:themeColor="text1"/>
          <w:kern w:val="0"/>
          <w:sz w:val="22"/>
        </w:rPr>
        <w:t>省级</w:t>
      </w:r>
      <w:r w:rsidRPr="009F5CC9">
        <w:rPr>
          <w:rFonts w:ascii="仿宋_GB2312" w:eastAsia="仿宋_GB2312" w:hAnsi="Times New Roman" w:cs="Times New Roman"/>
          <w:color w:val="000000" w:themeColor="text1"/>
          <w:kern w:val="0"/>
          <w:sz w:val="22"/>
        </w:rPr>
        <w:t>单位可配置资产的最高数量限额</w:t>
      </w:r>
      <w:r w:rsidRPr="009F5CC9">
        <w:rPr>
          <w:rFonts w:ascii="仿宋_GB2312" w:eastAsia="仿宋_GB2312" w:hAnsi="宋体" w:cs="宋体" w:hint="eastAsia"/>
          <w:color w:val="000000" w:themeColor="text1"/>
          <w:kern w:val="0"/>
          <w:sz w:val="22"/>
        </w:rPr>
        <w:t>，</w:t>
      </w:r>
      <w:r w:rsidRPr="009F5CC9">
        <w:rPr>
          <w:rFonts w:ascii="仿宋_GB2312" w:eastAsia="仿宋_GB2312" w:hAnsi="Times New Roman" w:cs="Times New Roman"/>
          <w:color w:val="000000" w:themeColor="text1"/>
          <w:kern w:val="0"/>
          <w:sz w:val="22"/>
        </w:rPr>
        <w:t>根据机构编制部门批复的编制数内实有人数、人员职级、内设机构数等确定</w:t>
      </w:r>
      <w:r w:rsidRPr="009F5CC9">
        <w:rPr>
          <w:rFonts w:ascii="仿宋_GB2312" w:eastAsia="仿宋_GB2312" w:hAnsi="宋体" w:cs="宋体" w:hint="eastAsia"/>
          <w:color w:val="000000" w:themeColor="text1"/>
          <w:kern w:val="0"/>
          <w:sz w:val="22"/>
        </w:rPr>
        <w:t>。</w:t>
      </w:r>
      <w:r w:rsidRPr="009F5CC9">
        <w:rPr>
          <w:rFonts w:ascii="仿宋_GB2312" w:eastAsia="仿宋_GB2312" w:hAnsi="Times New Roman" w:cs="Times New Roman"/>
          <w:color w:val="000000" w:themeColor="text1"/>
          <w:kern w:val="0"/>
          <w:sz w:val="22"/>
        </w:rPr>
        <w:t>具体数量由各</w:t>
      </w:r>
      <w:r w:rsidRPr="009F5CC9">
        <w:rPr>
          <w:rFonts w:ascii="仿宋_GB2312" w:eastAsia="仿宋_GB2312" w:hAnsi="宋体" w:cs="宋体" w:hint="eastAsia"/>
          <w:color w:val="000000" w:themeColor="text1"/>
          <w:kern w:val="0"/>
          <w:sz w:val="22"/>
        </w:rPr>
        <w:t>省级</w:t>
      </w:r>
      <w:r w:rsidRPr="009F5CC9">
        <w:rPr>
          <w:rFonts w:ascii="仿宋_GB2312" w:eastAsia="仿宋_GB2312" w:hAnsi="Times New Roman" w:cs="Times New Roman"/>
          <w:color w:val="000000" w:themeColor="text1"/>
          <w:kern w:val="0"/>
          <w:sz w:val="22"/>
        </w:rPr>
        <w:t>单位结合实际，按照厉行节约的原则合理配置。</w:t>
      </w:r>
    </w:p>
    <w:p w:rsidR="009F5CC9" w:rsidRPr="009F5CC9" w:rsidRDefault="009F5CC9" w:rsidP="009F5CC9">
      <w:pPr>
        <w:widowControl/>
        <w:shd w:val="clear" w:color="auto" w:fill="FFFFFF"/>
        <w:spacing w:line="440" w:lineRule="exact"/>
        <w:ind w:firstLine="643"/>
        <w:jc w:val="left"/>
        <w:rPr>
          <w:rFonts w:ascii="宋体" w:eastAsia="宋体" w:hAnsi="宋体" w:cs="宋体"/>
          <w:color w:val="000000" w:themeColor="text1"/>
          <w:kern w:val="0"/>
          <w:sz w:val="22"/>
        </w:rPr>
      </w:pPr>
      <w:r w:rsidRPr="009F5CC9">
        <w:rPr>
          <w:rFonts w:ascii="仿宋_GB2312" w:eastAsia="仿宋_GB2312" w:hAnsi="Times New Roman" w:cs="Times New Roman"/>
          <w:color w:val="000000" w:themeColor="text1"/>
          <w:kern w:val="0"/>
          <w:sz w:val="22"/>
        </w:rPr>
        <w:lastRenderedPageBreak/>
        <w:t>预算上限是指</w:t>
      </w:r>
      <w:r w:rsidRPr="009F5CC9">
        <w:rPr>
          <w:rFonts w:ascii="仿宋_GB2312" w:eastAsia="仿宋_GB2312" w:hAnsi="宋体" w:cs="宋体" w:hint="eastAsia"/>
          <w:color w:val="000000" w:themeColor="text1"/>
          <w:kern w:val="0"/>
          <w:sz w:val="22"/>
        </w:rPr>
        <w:t>省级</w:t>
      </w:r>
      <w:r w:rsidRPr="009F5CC9">
        <w:rPr>
          <w:rFonts w:ascii="仿宋_GB2312" w:eastAsia="仿宋_GB2312" w:hAnsi="Times New Roman" w:cs="Times New Roman"/>
          <w:color w:val="000000" w:themeColor="text1"/>
          <w:kern w:val="0"/>
          <w:sz w:val="22"/>
        </w:rPr>
        <w:t>单位可配置资产的最高经费限额，根据办公设备、家具市场价格并参照政府采购价确定</w:t>
      </w:r>
      <w:r w:rsidRPr="009F5CC9">
        <w:rPr>
          <w:rFonts w:ascii="仿宋_GB2312" w:eastAsia="仿宋_GB2312" w:hAnsi="宋体" w:cs="宋体" w:hint="eastAsia"/>
          <w:color w:val="000000" w:themeColor="text1"/>
          <w:kern w:val="0"/>
          <w:sz w:val="22"/>
        </w:rPr>
        <w:t>。</w:t>
      </w:r>
      <w:r w:rsidRPr="009F5CC9">
        <w:rPr>
          <w:rFonts w:ascii="仿宋_GB2312" w:eastAsia="仿宋_GB2312" w:hAnsi="Times New Roman" w:cs="Times New Roman"/>
          <w:color w:val="000000" w:themeColor="text1"/>
          <w:kern w:val="0"/>
          <w:sz w:val="22"/>
        </w:rPr>
        <w:t>具体价格由各</w:t>
      </w:r>
      <w:r w:rsidRPr="009F5CC9">
        <w:rPr>
          <w:rFonts w:ascii="仿宋_GB2312" w:eastAsia="仿宋_GB2312" w:hAnsi="宋体" w:cs="宋体" w:hint="eastAsia"/>
          <w:color w:val="000000" w:themeColor="text1"/>
          <w:kern w:val="0"/>
          <w:sz w:val="22"/>
        </w:rPr>
        <w:t>省级</w:t>
      </w:r>
      <w:r w:rsidRPr="009F5CC9">
        <w:rPr>
          <w:rFonts w:ascii="仿宋_GB2312" w:eastAsia="仿宋_GB2312" w:hAnsi="Times New Roman" w:cs="Times New Roman"/>
          <w:color w:val="000000" w:themeColor="text1"/>
          <w:kern w:val="0"/>
          <w:sz w:val="22"/>
        </w:rPr>
        <w:t>单位结合实际，按照厉行节约的原则合理配置。</w:t>
      </w:r>
    </w:p>
    <w:p w:rsidR="009F5CC9" w:rsidRPr="009F5CC9" w:rsidRDefault="009F5CC9" w:rsidP="009F5CC9">
      <w:pPr>
        <w:widowControl/>
        <w:shd w:val="clear" w:color="auto" w:fill="FFFFFF"/>
        <w:spacing w:line="440" w:lineRule="exact"/>
        <w:ind w:firstLine="643"/>
        <w:jc w:val="left"/>
        <w:rPr>
          <w:rFonts w:ascii="宋体" w:eastAsia="宋体" w:hAnsi="宋体" w:cs="宋体"/>
          <w:color w:val="000000" w:themeColor="text1"/>
          <w:kern w:val="0"/>
          <w:sz w:val="22"/>
        </w:rPr>
      </w:pPr>
      <w:r w:rsidRPr="009F5CC9">
        <w:rPr>
          <w:rFonts w:ascii="仿宋_GB2312" w:eastAsia="仿宋_GB2312" w:hAnsi="Times New Roman" w:cs="Times New Roman"/>
          <w:color w:val="000000" w:themeColor="text1"/>
          <w:kern w:val="0"/>
          <w:sz w:val="22"/>
        </w:rPr>
        <w:t>最低使用年限根据办公设备、家具的使用频率和耐用程度等确定，是</w:t>
      </w:r>
      <w:r w:rsidRPr="009F5CC9">
        <w:rPr>
          <w:rFonts w:ascii="仿宋_GB2312" w:eastAsia="仿宋_GB2312" w:hAnsi="宋体" w:cs="宋体" w:hint="eastAsia"/>
          <w:color w:val="000000" w:themeColor="text1"/>
          <w:kern w:val="0"/>
          <w:sz w:val="22"/>
        </w:rPr>
        <w:t>通用办公设备、家具使用的低限标准。</w:t>
      </w:r>
      <w:r w:rsidRPr="009F5CC9">
        <w:rPr>
          <w:rFonts w:ascii="仿宋_GB2312" w:eastAsia="仿宋_GB2312" w:hAnsi="Times New Roman" w:cs="Times New Roman"/>
          <w:color w:val="000000" w:themeColor="text1"/>
          <w:kern w:val="0"/>
          <w:sz w:val="22"/>
        </w:rPr>
        <w:t>未达到最低使用年限的，</w:t>
      </w:r>
      <w:r w:rsidRPr="009F5CC9">
        <w:rPr>
          <w:rFonts w:ascii="仿宋_GB2312" w:eastAsia="仿宋_GB2312" w:hAnsi="宋体" w:cs="宋体" w:hint="eastAsia"/>
          <w:color w:val="000000" w:themeColor="text1"/>
          <w:kern w:val="0"/>
          <w:sz w:val="22"/>
        </w:rPr>
        <w:t>除</w:t>
      </w:r>
      <w:proofErr w:type="gramStart"/>
      <w:r w:rsidRPr="009F5CC9">
        <w:rPr>
          <w:rFonts w:ascii="仿宋_GB2312" w:eastAsia="仿宋_GB2312" w:hAnsi="宋体" w:cs="宋体" w:hint="eastAsia"/>
          <w:color w:val="000000" w:themeColor="text1"/>
          <w:kern w:val="0"/>
          <w:sz w:val="22"/>
        </w:rPr>
        <w:t>损毁且</w:t>
      </w:r>
      <w:proofErr w:type="gramEnd"/>
      <w:r w:rsidRPr="009F5CC9">
        <w:rPr>
          <w:rFonts w:ascii="仿宋_GB2312" w:eastAsia="仿宋_GB2312" w:hAnsi="宋体" w:cs="宋体" w:hint="eastAsia"/>
          <w:color w:val="000000" w:themeColor="text1"/>
          <w:kern w:val="0"/>
          <w:sz w:val="22"/>
        </w:rPr>
        <w:t>无法修复外，</w:t>
      </w:r>
      <w:r w:rsidRPr="009F5CC9">
        <w:rPr>
          <w:rFonts w:ascii="仿宋_GB2312" w:eastAsia="仿宋_GB2312" w:hAnsi="Times New Roman" w:cs="Times New Roman"/>
          <w:color w:val="000000" w:themeColor="text1"/>
          <w:kern w:val="0"/>
          <w:sz w:val="22"/>
        </w:rPr>
        <w:t>原则上不得更新。因规定技术指标无法使用、损坏无法修复、使用成本过高等需要提前报废的，国家或行业对资产报废有技术要求的，应当由具备相应资质的专业机构进行技术鉴定。暂未规定的，应当经</w:t>
      </w:r>
      <w:r w:rsidRPr="009F5CC9">
        <w:rPr>
          <w:rFonts w:ascii="仿宋_GB2312" w:eastAsia="仿宋_GB2312" w:hAnsi="宋体" w:cs="宋体" w:hint="eastAsia"/>
          <w:color w:val="000000" w:themeColor="text1"/>
          <w:kern w:val="0"/>
          <w:sz w:val="22"/>
        </w:rPr>
        <w:t>省级</w:t>
      </w:r>
      <w:r w:rsidRPr="009F5CC9">
        <w:rPr>
          <w:rFonts w:ascii="仿宋_GB2312" w:eastAsia="仿宋_GB2312" w:hAnsi="Times New Roman" w:cs="Times New Roman"/>
          <w:color w:val="000000" w:themeColor="text1"/>
          <w:kern w:val="0"/>
          <w:sz w:val="22"/>
        </w:rPr>
        <w:t>单位内部有关技术部门和资产管理部门鉴定，并严格按照资产处置有关规定办理审批（备案）手续。已达到最低使用年限</w:t>
      </w:r>
      <w:r w:rsidRPr="009F5CC9">
        <w:rPr>
          <w:rFonts w:ascii="仿宋_GB2312" w:eastAsia="仿宋_GB2312" w:hAnsi="宋体" w:cs="宋体" w:hint="eastAsia"/>
          <w:color w:val="000000" w:themeColor="text1"/>
          <w:kern w:val="0"/>
          <w:sz w:val="22"/>
        </w:rPr>
        <w:t>仍</w:t>
      </w:r>
      <w:r w:rsidRPr="009F5CC9">
        <w:rPr>
          <w:rFonts w:ascii="仿宋_GB2312" w:eastAsia="仿宋_GB2312" w:hAnsi="Times New Roman" w:cs="Times New Roman"/>
          <w:color w:val="000000" w:themeColor="text1"/>
          <w:kern w:val="0"/>
          <w:sz w:val="22"/>
        </w:rPr>
        <w:t>可</w:t>
      </w:r>
      <w:r w:rsidRPr="009F5CC9">
        <w:rPr>
          <w:rFonts w:ascii="仿宋_GB2312" w:eastAsia="仿宋_GB2312" w:hAnsi="宋体" w:cs="宋体" w:hint="eastAsia"/>
          <w:color w:val="000000" w:themeColor="text1"/>
          <w:kern w:val="0"/>
          <w:sz w:val="22"/>
        </w:rPr>
        <w:t>以</w:t>
      </w:r>
      <w:r w:rsidRPr="009F5CC9">
        <w:rPr>
          <w:rFonts w:ascii="仿宋_GB2312" w:eastAsia="仿宋_GB2312" w:hAnsi="Times New Roman" w:cs="Times New Roman"/>
          <w:color w:val="000000" w:themeColor="text1"/>
          <w:kern w:val="0"/>
          <w:sz w:val="22"/>
        </w:rPr>
        <w:t>继续使用的，应当继续使用，以充分发挥国有资产的使用效益。</w:t>
      </w:r>
    </w:p>
    <w:p w:rsidR="009F5CC9" w:rsidRPr="009F5CC9" w:rsidRDefault="009F5CC9" w:rsidP="009F5CC9">
      <w:pPr>
        <w:widowControl/>
        <w:shd w:val="clear" w:color="auto" w:fill="FFFFFF"/>
        <w:spacing w:line="440" w:lineRule="exact"/>
        <w:ind w:firstLine="643"/>
        <w:jc w:val="left"/>
        <w:rPr>
          <w:rFonts w:ascii="宋体" w:eastAsia="宋体" w:hAnsi="宋体" w:cs="宋体"/>
          <w:color w:val="000000" w:themeColor="text1"/>
          <w:kern w:val="0"/>
          <w:sz w:val="22"/>
        </w:rPr>
      </w:pPr>
      <w:r w:rsidRPr="009F5CC9">
        <w:rPr>
          <w:rFonts w:ascii="仿宋_GB2312" w:eastAsia="仿宋_GB2312" w:hAnsi="Times New Roman" w:cs="Times New Roman"/>
          <w:color w:val="000000" w:themeColor="text1"/>
          <w:kern w:val="0"/>
          <w:sz w:val="22"/>
        </w:rPr>
        <w:t>性能要求是对通用办公设备、家具功能、属性、材质等方面的规定。</w:t>
      </w:r>
    </w:p>
    <w:p w:rsidR="009F5CC9" w:rsidRPr="009F5CC9" w:rsidRDefault="009F5CC9" w:rsidP="009F5CC9">
      <w:pPr>
        <w:widowControl/>
        <w:shd w:val="clear" w:color="auto" w:fill="FFFFFF"/>
        <w:spacing w:line="440" w:lineRule="exact"/>
        <w:ind w:firstLine="640"/>
        <w:jc w:val="left"/>
        <w:rPr>
          <w:rFonts w:ascii="微软雅黑" w:eastAsia="微软雅黑" w:hAnsi="微软雅黑" w:cs="宋体"/>
          <w:color w:val="000000" w:themeColor="text1"/>
          <w:kern w:val="0"/>
          <w:sz w:val="22"/>
        </w:rPr>
      </w:pPr>
      <w:r w:rsidRPr="009F5CC9">
        <w:rPr>
          <w:rFonts w:ascii="仿宋_GB2312" w:eastAsia="仿宋_GB2312" w:hAnsi="Times New Roman" w:cs="Times New Roman"/>
          <w:color w:val="000000" w:themeColor="text1"/>
          <w:kern w:val="0"/>
          <w:sz w:val="22"/>
        </w:rPr>
        <w:t>五、省级单位应当根据《标准》和《湖南省省直行政事业单位国有资产配置管理办法》</w:t>
      </w:r>
      <w:r w:rsidRPr="009F5CC9">
        <w:rPr>
          <w:rFonts w:ascii="Times New Roman" w:eastAsia="微软雅黑" w:hAnsi="Times New Roman" w:cs="Times New Roman"/>
          <w:color w:val="000000" w:themeColor="text1"/>
          <w:kern w:val="0"/>
          <w:sz w:val="22"/>
        </w:rPr>
        <w:t>(</w:t>
      </w:r>
      <w:r w:rsidRPr="009F5CC9">
        <w:rPr>
          <w:rFonts w:ascii="仿宋_GB2312" w:eastAsia="仿宋_GB2312" w:hAnsi="Times New Roman" w:cs="Times New Roman"/>
          <w:color w:val="000000" w:themeColor="text1"/>
          <w:kern w:val="0"/>
          <w:sz w:val="22"/>
        </w:rPr>
        <w:t>湘财资〔</w:t>
      </w:r>
      <w:r w:rsidRPr="009F5CC9">
        <w:rPr>
          <w:rFonts w:ascii="Times New Roman" w:eastAsia="微软雅黑" w:hAnsi="Times New Roman" w:cs="Times New Roman"/>
          <w:color w:val="000000" w:themeColor="text1"/>
          <w:kern w:val="0"/>
          <w:sz w:val="22"/>
        </w:rPr>
        <w:t>2014</w:t>
      </w:r>
      <w:r w:rsidRPr="009F5CC9">
        <w:rPr>
          <w:rFonts w:ascii="仿宋_GB2312" w:eastAsia="仿宋_GB2312" w:hAnsi="Times New Roman" w:cs="Times New Roman"/>
          <w:color w:val="000000" w:themeColor="text1"/>
          <w:kern w:val="0"/>
          <w:sz w:val="22"/>
        </w:rPr>
        <w:t>〕</w:t>
      </w:r>
      <w:r w:rsidRPr="009F5CC9">
        <w:rPr>
          <w:rFonts w:ascii="Times New Roman" w:eastAsia="微软雅黑" w:hAnsi="Times New Roman" w:cs="Times New Roman"/>
          <w:color w:val="000000" w:themeColor="text1"/>
          <w:kern w:val="0"/>
          <w:sz w:val="22"/>
        </w:rPr>
        <w:t>7</w:t>
      </w:r>
      <w:r w:rsidRPr="009F5CC9">
        <w:rPr>
          <w:rFonts w:ascii="仿宋_GB2312" w:eastAsia="仿宋_GB2312" w:hAnsi="Times New Roman" w:cs="Times New Roman"/>
          <w:color w:val="000000" w:themeColor="text1"/>
          <w:kern w:val="0"/>
          <w:sz w:val="22"/>
        </w:rPr>
        <w:t>号</w:t>
      </w:r>
      <w:r w:rsidRPr="009F5CC9">
        <w:rPr>
          <w:rFonts w:ascii="Times New Roman" w:eastAsia="微软雅黑" w:hAnsi="Times New Roman" w:cs="Times New Roman"/>
          <w:color w:val="000000" w:themeColor="text1"/>
          <w:kern w:val="0"/>
          <w:sz w:val="22"/>
        </w:rPr>
        <w:t>)</w:t>
      </w:r>
      <w:r w:rsidRPr="009F5CC9">
        <w:rPr>
          <w:rFonts w:ascii="仿宋_GB2312" w:eastAsia="仿宋_GB2312" w:hAnsi="Times New Roman" w:cs="Times New Roman"/>
          <w:color w:val="000000" w:themeColor="text1"/>
          <w:kern w:val="0"/>
          <w:sz w:val="22"/>
        </w:rPr>
        <w:t>的相关规定，结合内设机构职能、工作需要和预算安排情况，在不超出按本标准计算的</w:t>
      </w:r>
      <w:r w:rsidRPr="009F5CC9">
        <w:rPr>
          <w:rFonts w:ascii="仿宋_GB2312" w:eastAsia="仿宋_GB2312" w:hAnsi="微软雅黑" w:cs="宋体" w:hint="eastAsia"/>
          <w:color w:val="000000" w:themeColor="text1"/>
          <w:kern w:val="0"/>
          <w:sz w:val="22"/>
        </w:rPr>
        <w:t>实物量上限内</w:t>
      </w:r>
      <w:r w:rsidRPr="009F5CC9">
        <w:rPr>
          <w:rFonts w:ascii="仿宋_GB2312" w:eastAsia="仿宋_GB2312" w:hAnsi="Times New Roman" w:cs="Times New Roman"/>
          <w:color w:val="000000" w:themeColor="text1"/>
          <w:kern w:val="0"/>
          <w:sz w:val="22"/>
        </w:rPr>
        <w:t>，统筹合理安排本单位内设机构通用办公设备、家具的配置。</w:t>
      </w:r>
    </w:p>
    <w:p w:rsidR="009F5CC9" w:rsidRPr="009F5CC9" w:rsidRDefault="009F5CC9" w:rsidP="009F5CC9">
      <w:pPr>
        <w:widowControl/>
        <w:shd w:val="clear" w:color="auto" w:fill="FFFFFF"/>
        <w:spacing w:line="440" w:lineRule="exact"/>
        <w:ind w:firstLine="640"/>
        <w:jc w:val="left"/>
        <w:rPr>
          <w:rFonts w:ascii="微软雅黑" w:eastAsia="微软雅黑" w:hAnsi="微软雅黑" w:cs="宋体" w:hint="eastAsia"/>
          <w:color w:val="000000" w:themeColor="text1"/>
          <w:kern w:val="0"/>
          <w:sz w:val="22"/>
        </w:rPr>
      </w:pPr>
      <w:r w:rsidRPr="009F5CC9">
        <w:rPr>
          <w:rFonts w:ascii="仿宋_GB2312" w:eastAsia="仿宋_GB2312" w:hAnsi="Times New Roman" w:cs="Times New Roman"/>
          <w:color w:val="000000" w:themeColor="text1"/>
          <w:kern w:val="0"/>
          <w:sz w:val="22"/>
        </w:rPr>
        <w:t>六、对未列入</w:t>
      </w:r>
      <w:r w:rsidRPr="009F5CC9">
        <w:rPr>
          <w:rFonts w:ascii="仿宋_GB2312" w:eastAsia="仿宋_GB2312" w:hAnsi="微软雅黑" w:cs="宋体" w:hint="eastAsia"/>
          <w:color w:val="000000" w:themeColor="text1"/>
          <w:kern w:val="0"/>
          <w:sz w:val="22"/>
        </w:rPr>
        <w:t>《</w:t>
      </w:r>
      <w:r w:rsidRPr="009F5CC9">
        <w:rPr>
          <w:rFonts w:ascii="仿宋_GB2312" w:eastAsia="仿宋_GB2312" w:hAnsi="Times New Roman" w:cs="Times New Roman"/>
          <w:color w:val="000000" w:themeColor="text1"/>
          <w:kern w:val="0"/>
          <w:sz w:val="22"/>
        </w:rPr>
        <w:t>标准</w:t>
      </w:r>
      <w:r w:rsidRPr="009F5CC9">
        <w:rPr>
          <w:rFonts w:ascii="仿宋_GB2312" w:eastAsia="仿宋_GB2312" w:hAnsi="微软雅黑" w:cs="宋体" w:hint="eastAsia"/>
          <w:color w:val="000000" w:themeColor="text1"/>
          <w:kern w:val="0"/>
          <w:sz w:val="22"/>
        </w:rPr>
        <w:t>》</w:t>
      </w:r>
      <w:r w:rsidRPr="009F5CC9">
        <w:rPr>
          <w:rFonts w:ascii="仿宋_GB2312" w:eastAsia="仿宋_GB2312" w:hAnsi="Times New Roman" w:cs="Times New Roman"/>
          <w:color w:val="000000" w:themeColor="text1"/>
          <w:kern w:val="0"/>
          <w:sz w:val="22"/>
        </w:rPr>
        <w:t>资产品目内的其他通用办公设备、家具，中央有关部门和我省已有配置标准的，省级单位应严格按标准执行；暂无配置标准的，应当按照与单位履行职能需要相适应的原则，从严控制，合理配置。专用设备的资产配置标准由主管部门会同省财政厅制定。</w:t>
      </w:r>
    </w:p>
    <w:p w:rsidR="009F5CC9" w:rsidRPr="009F5CC9" w:rsidRDefault="009F5CC9" w:rsidP="009F5CC9">
      <w:pPr>
        <w:widowControl/>
        <w:shd w:val="clear" w:color="auto" w:fill="FFFFFF"/>
        <w:spacing w:line="440" w:lineRule="exact"/>
        <w:ind w:firstLine="640"/>
        <w:jc w:val="left"/>
        <w:rPr>
          <w:rFonts w:ascii="宋体" w:eastAsia="宋体" w:hAnsi="宋体" w:cs="宋体" w:hint="eastAsia"/>
          <w:color w:val="000000" w:themeColor="text1"/>
          <w:kern w:val="0"/>
          <w:sz w:val="22"/>
        </w:rPr>
      </w:pPr>
      <w:r w:rsidRPr="009F5CC9">
        <w:rPr>
          <w:rFonts w:ascii="仿宋_GB2312" w:eastAsia="仿宋_GB2312" w:hAnsi="Times New Roman" w:cs="Times New Roman"/>
          <w:color w:val="000000" w:themeColor="text1"/>
          <w:kern w:val="0"/>
          <w:sz w:val="22"/>
        </w:rPr>
        <w:t>七、省直党政机关采购计算机、打印机、复印机、速印机、扫描仪、一体机、碎纸机等信息设备，</w:t>
      </w:r>
      <w:r w:rsidRPr="009F5CC9">
        <w:rPr>
          <w:rFonts w:ascii="仿宋_GB2312" w:eastAsia="仿宋_GB2312" w:hAnsi="宋体" w:cs="宋体" w:hint="eastAsia"/>
          <w:color w:val="000000" w:themeColor="text1"/>
          <w:kern w:val="0"/>
          <w:sz w:val="22"/>
        </w:rPr>
        <w:t>预算</w:t>
      </w:r>
      <w:r w:rsidRPr="009F5CC9">
        <w:rPr>
          <w:rFonts w:ascii="仿宋_GB2312" w:eastAsia="仿宋_GB2312" w:hAnsi="Times New Roman" w:cs="Times New Roman"/>
          <w:color w:val="000000" w:themeColor="text1"/>
          <w:kern w:val="0"/>
          <w:sz w:val="22"/>
        </w:rPr>
        <w:t>上限应执行国家有关替代工作要求。</w:t>
      </w:r>
    </w:p>
    <w:p w:rsidR="009F5CC9" w:rsidRPr="009F5CC9" w:rsidRDefault="009F5CC9" w:rsidP="009F5CC9">
      <w:pPr>
        <w:widowControl/>
        <w:shd w:val="clear" w:color="auto" w:fill="FFFFFF"/>
        <w:spacing w:line="440" w:lineRule="exact"/>
        <w:ind w:firstLine="640"/>
        <w:jc w:val="left"/>
        <w:rPr>
          <w:rFonts w:ascii="宋体" w:eastAsia="宋体" w:hAnsi="宋体" w:cs="宋体"/>
          <w:color w:val="000000" w:themeColor="text1"/>
          <w:kern w:val="0"/>
          <w:sz w:val="22"/>
        </w:rPr>
      </w:pPr>
      <w:r w:rsidRPr="009F5CC9">
        <w:rPr>
          <w:rFonts w:ascii="仿宋_GB2312" w:eastAsia="仿宋_GB2312" w:hAnsi="Times New Roman" w:cs="Times New Roman"/>
          <w:color w:val="000000" w:themeColor="text1"/>
          <w:kern w:val="0"/>
          <w:sz w:val="22"/>
        </w:rPr>
        <w:t>八、省级单位配置办公设备应当遵循政府采购有关规定，按照保障需要、节俭实用和节能环保的原则，配置具有较强安全性、稳定性、兼容性，且能耗低、维修便利的设备，不得配置高端设备。省级单位配置办公家具应当充分考虑办公布局，符合简朴实用要求，不得配置豪华家具，不得使用名贵木材。违反本办法规定超标配置资产的，由省财政</w:t>
      </w:r>
      <w:r w:rsidRPr="009F5CC9">
        <w:rPr>
          <w:rFonts w:ascii="仿宋_GB2312" w:eastAsia="仿宋_GB2312" w:hAnsi="宋体" w:cs="宋体" w:hint="eastAsia"/>
          <w:color w:val="000000" w:themeColor="text1"/>
          <w:kern w:val="0"/>
          <w:sz w:val="22"/>
        </w:rPr>
        <w:t>厅</w:t>
      </w:r>
      <w:r w:rsidRPr="009F5CC9">
        <w:rPr>
          <w:rFonts w:ascii="仿宋_GB2312" w:eastAsia="仿宋_GB2312" w:hAnsi="Times New Roman" w:cs="Times New Roman"/>
          <w:color w:val="000000" w:themeColor="text1"/>
          <w:kern w:val="0"/>
          <w:sz w:val="22"/>
        </w:rPr>
        <w:t>按照相关规定进行处理、处罚。</w:t>
      </w:r>
    </w:p>
    <w:p w:rsidR="009F5CC9" w:rsidRPr="009F5CC9" w:rsidRDefault="009F5CC9" w:rsidP="009F5CC9">
      <w:pPr>
        <w:widowControl/>
        <w:shd w:val="clear" w:color="auto" w:fill="FFFFFF"/>
        <w:spacing w:line="440" w:lineRule="exact"/>
        <w:ind w:firstLine="640"/>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九</w:t>
      </w:r>
      <w:r w:rsidRPr="009F5CC9">
        <w:rPr>
          <w:rFonts w:ascii="仿宋_GB2312" w:eastAsia="仿宋_GB2312" w:hAnsi="Times New Roman" w:cs="Times New Roman"/>
          <w:color w:val="000000" w:themeColor="text1"/>
          <w:kern w:val="0"/>
          <w:sz w:val="22"/>
        </w:rPr>
        <w:t>、《标准》是动态标准，根据国家有关政策、社会经济发展水平、市场价格变化、科学技术发展等因素，</w:t>
      </w:r>
      <w:r w:rsidRPr="009F5CC9">
        <w:rPr>
          <w:rFonts w:ascii="仿宋_GB2312" w:eastAsia="仿宋_GB2312" w:hAnsi="宋体" w:cs="宋体" w:hint="eastAsia"/>
          <w:color w:val="000000" w:themeColor="text1"/>
          <w:kern w:val="0"/>
          <w:sz w:val="22"/>
        </w:rPr>
        <w:t>将</w:t>
      </w:r>
      <w:r w:rsidRPr="009F5CC9">
        <w:rPr>
          <w:rFonts w:ascii="仿宋_GB2312" w:eastAsia="仿宋_GB2312" w:hAnsi="Times New Roman" w:cs="Times New Roman"/>
          <w:color w:val="000000" w:themeColor="text1"/>
          <w:kern w:val="0"/>
          <w:sz w:val="22"/>
        </w:rPr>
        <w:t>适时对配置标准作相应的调整和更新。</w:t>
      </w:r>
    </w:p>
    <w:p w:rsidR="009F5CC9" w:rsidRPr="009F5CC9" w:rsidRDefault="009F5CC9" w:rsidP="009F5CC9">
      <w:pPr>
        <w:widowControl/>
        <w:shd w:val="clear" w:color="auto" w:fill="FFFFFF"/>
        <w:spacing w:line="440" w:lineRule="exact"/>
        <w:ind w:firstLine="640"/>
        <w:jc w:val="left"/>
        <w:rPr>
          <w:rFonts w:ascii="宋体" w:eastAsia="宋体" w:hAnsi="宋体" w:cs="宋体"/>
          <w:color w:val="000000" w:themeColor="text1"/>
          <w:kern w:val="0"/>
          <w:sz w:val="22"/>
        </w:rPr>
      </w:pPr>
      <w:r w:rsidRPr="009F5CC9">
        <w:rPr>
          <w:rFonts w:ascii="仿宋_GB2312" w:eastAsia="仿宋_GB2312" w:hAnsi="Times New Roman" w:cs="Times New Roman"/>
          <w:color w:val="000000" w:themeColor="text1"/>
          <w:kern w:val="0"/>
          <w:sz w:val="22"/>
        </w:rPr>
        <w:t>十、各市（州）、省直管县（市）财政部门可参照本标准，结合本地实际制定行政事业单位通用办公设备和家具配置标准。</w:t>
      </w:r>
    </w:p>
    <w:p w:rsidR="009F5CC9" w:rsidRPr="009F5CC9" w:rsidRDefault="009F5CC9" w:rsidP="009F5CC9">
      <w:pPr>
        <w:widowControl/>
        <w:shd w:val="clear" w:color="auto" w:fill="FFFFFF"/>
        <w:spacing w:line="440" w:lineRule="exact"/>
        <w:ind w:firstLine="640"/>
        <w:jc w:val="left"/>
        <w:rPr>
          <w:rFonts w:ascii="宋体" w:eastAsia="宋体" w:hAnsi="宋体" w:cs="宋体"/>
          <w:color w:val="000000" w:themeColor="text1"/>
          <w:kern w:val="0"/>
          <w:sz w:val="22"/>
        </w:rPr>
      </w:pPr>
      <w:r w:rsidRPr="009F5CC9">
        <w:rPr>
          <w:rFonts w:ascii="仿宋_GB2312" w:eastAsia="仿宋_GB2312" w:hAnsi="Times New Roman" w:cs="Times New Roman"/>
          <w:color w:val="000000" w:themeColor="text1"/>
          <w:kern w:val="0"/>
          <w:sz w:val="22"/>
        </w:rPr>
        <w:lastRenderedPageBreak/>
        <w:t>十</w:t>
      </w:r>
      <w:r w:rsidRPr="009F5CC9">
        <w:rPr>
          <w:rFonts w:ascii="仿宋_GB2312" w:eastAsia="仿宋_GB2312" w:hAnsi="宋体" w:cs="宋体" w:hint="eastAsia"/>
          <w:color w:val="000000" w:themeColor="text1"/>
          <w:kern w:val="0"/>
          <w:sz w:val="22"/>
        </w:rPr>
        <w:t>一</w:t>
      </w:r>
      <w:r w:rsidRPr="009F5CC9">
        <w:rPr>
          <w:rFonts w:ascii="仿宋_GB2312" w:eastAsia="仿宋_GB2312" w:hAnsi="Times New Roman" w:cs="Times New Roman"/>
          <w:color w:val="000000" w:themeColor="text1"/>
          <w:kern w:val="0"/>
          <w:sz w:val="22"/>
        </w:rPr>
        <w:t>、</w:t>
      </w:r>
      <w:r w:rsidRPr="009F5CC9">
        <w:rPr>
          <w:rFonts w:ascii="仿宋_GB2312" w:eastAsia="仿宋_GB2312" w:hAnsi="宋体" w:cs="宋体" w:hint="eastAsia"/>
          <w:color w:val="000000" w:themeColor="text1"/>
          <w:kern w:val="0"/>
          <w:sz w:val="22"/>
        </w:rPr>
        <w:t>《</w:t>
      </w:r>
      <w:r w:rsidRPr="009F5CC9">
        <w:rPr>
          <w:rFonts w:ascii="仿宋_GB2312" w:eastAsia="仿宋_GB2312" w:hAnsi="Times New Roman" w:cs="Times New Roman"/>
          <w:color w:val="000000" w:themeColor="text1"/>
          <w:kern w:val="0"/>
          <w:sz w:val="22"/>
        </w:rPr>
        <w:t>标准</w:t>
      </w:r>
      <w:r w:rsidRPr="009F5CC9">
        <w:rPr>
          <w:rFonts w:ascii="仿宋_GB2312" w:eastAsia="仿宋_GB2312" w:hAnsi="宋体" w:cs="宋体" w:hint="eastAsia"/>
          <w:color w:val="000000" w:themeColor="text1"/>
          <w:kern w:val="0"/>
          <w:sz w:val="22"/>
        </w:rPr>
        <w:t>》</w:t>
      </w:r>
      <w:r w:rsidRPr="009F5CC9">
        <w:rPr>
          <w:rFonts w:ascii="仿宋_GB2312" w:eastAsia="仿宋_GB2312" w:hAnsi="Times New Roman" w:cs="Times New Roman"/>
          <w:color w:val="000000" w:themeColor="text1"/>
          <w:kern w:val="0"/>
          <w:sz w:val="22"/>
        </w:rPr>
        <w:t>自</w:t>
      </w:r>
      <w:r w:rsidRPr="009F5CC9">
        <w:rPr>
          <w:rFonts w:ascii="Times New Roman" w:eastAsia="宋体" w:hAnsi="Times New Roman" w:cs="Times New Roman"/>
          <w:color w:val="000000" w:themeColor="text1"/>
          <w:kern w:val="0"/>
          <w:sz w:val="22"/>
        </w:rPr>
        <w:t>20</w:t>
      </w:r>
      <w:r w:rsidRPr="009F5CC9">
        <w:rPr>
          <w:rFonts w:ascii="仿宋_GB2312" w:eastAsia="仿宋_GB2312" w:hAnsi="宋体" w:cs="宋体" w:hint="eastAsia"/>
          <w:color w:val="000000" w:themeColor="text1"/>
          <w:kern w:val="0"/>
          <w:sz w:val="22"/>
        </w:rPr>
        <w:t>21</w:t>
      </w:r>
      <w:r w:rsidRPr="009F5CC9">
        <w:rPr>
          <w:rFonts w:ascii="仿宋_GB2312" w:eastAsia="仿宋_GB2312" w:hAnsi="Times New Roman" w:cs="Times New Roman"/>
          <w:color w:val="000000" w:themeColor="text1"/>
          <w:kern w:val="0"/>
          <w:sz w:val="22"/>
        </w:rPr>
        <w:t>年</w:t>
      </w:r>
      <w:r w:rsidRPr="009F5CC9">
        <w:rPr>
          <w:rFonts w:ascii="仿宋_GB2312" w:eastAsia="仿宋_GB2312" w:hAnsi="宋体" w:cs="宋体" w:hint="eastAsia"/>
          <w:color w:val="000000" w:themeColor="text1"/>
          <w:kern w:val="0"/>
          <w:sz w:val="22"/>
        </w:rPr>
        <w:t>1</w:t>
      </w:r>
      <w:r w:rsidRPr="009F5CC9">
        <w:rPr>
          <w:rFonts w:ascii="仿宋_GB2312" w:eastAsia="仿宋_GB2312" w:hAnsi="Times New Roman" w:cs="Times New Roman"/>
          <w:color w:val="000000" w:themeColor="text1"/>
          <w:kern w:val="0"/>
          <w:sz w:val="22"/>
        </w:rPr>
        <w:t>月</w:t>
      </w:r>
      <w:r w:rsidRPr="009F5CC9">
        <w:rPr>
          <w:rFonts w:ascii="仿宋_GB2312" w:eastAsia="仿宋_GB2312" w:hAnsi="宋体" w:cs="宋体" w:hint="eastAsia"/>
          <w:color w:val="000000" w:themeColor="text1"/>
          <w:kern w:val="0"/>
          <w:sz w:val="22"/>
        </w:rPr>
        <w:t>1</w:t>
      </w:r>
      <w:r w:rsidRPr="009F5CC9">
        <w:rPr>
          <w:rFonts w:ascii="仿宋_GB2312" w:eastAsia="仿宋_GB2312" w:hAnsi="Times New Roman" w:cs="Times New Roman"/>
          <w:color w:val="000000" w:themeColor="text1"/>
          <w:kern w:val="0"/>
          <w:sz w:val="22"/>
        </w:rPr>
        <w:t>日起实施，《湖南省直行政事业单位</w:t>
      </w:r>
      <w:r w:rsidRPr="009F5CC9">
        <w:rPr>
          <w:rFonts w:ascii="Times New Roman" w:eastAsia="宋体" w:hAnsi="Times New Roman" w:cs="Times New Roman"/>
          <w:color w:val="000000" w:themeColor="text1"/>
          <w:kern w:val="0"/>
          <w:sz w:val="22"/>
        </w:rPr>
        <w:t>2018-2020</w:t>
      </w:r>
      <w:r w:rsidRPr="009F5CC9">
        <w:rPr>
          <w:rFonts w:ascii="仿宋_GB2312" w:eastAsia="仿宋_GB2312" w:hAnsi="Times New Roman" w:cs="Times New Roman"/>
          <w:color w:val="000000" w:themeColor="text1"/>
          <w:kern w:val="0"/>
          <w:sz w:val="22"/>
        </w:rPr>
        <w:t>年国有资产配置预算</w:t>
      </w:r>
      <w:r w:rsidRPr="009F5CC9">
        <w:rPr>
          <w:rFonts w:ascii="仿宋_GB2312" w:eastAsia="仿宋_GB2312" w:hAnsi="宋体" w:cs="宋体" w:hint="eastAsia"/>
          <w:color w:val="000000" w:themeColor="text1"/>
          <w:kern w:val="0"/>
          <w:sz w:val="22"/>
        </w:rPr>
        <w:t>及实物</w:t>
      </w:r>
      <w:r w:rsidRPr="009F5CC9">
        <w:rPr>
          <w:rFonts w:ascii="仿宋_GB2312" w:eastAsia="仿宋_GB2312" w:hAnsi="Times New Roman" w:cs="Times New Roman"/>
          <w:color w:val="000000" w:themeColor="text1"/>
          <w:kern w:val="0"/>
          <w:sz w:val="22"/>
        </w:rPr>
        <w:t>限额标准》</w:t>
      </w:r>
      <w:r w:rsidRPr="009F5CC9">
        <w:rPr>
          <w:rFonts w:ascii="仿宋_GB2312" w:eastAsia="仿宋_GB2312" w:hAnsi="宋体" w:cs="宋体" w:hint="eastAsia"/>
          <w:color w:val="000000" w:themeColor="text1"/>
          <w:kern w:val="0"/>
          <w:sz w:val="22"/>
        </w:rPr>
        <w:t>（湘财资[2017]13号）</w:t>
      </w:r>
      <w:r w:rsidRPr="009F5CC9">
        <w:rPr>
          <w:rFonts w:ascii="仿宋_GB2312" w:eastAsia="仿宋_GB2312" w:hAnsi="Times New Roman" w:cs="Times New Roman"/>
          <w:color w:val="000000" w:themeColor="text1"/>
          <w:kern w:val="0"/>
          <w:sz w:val="22"/>
        </w:rPr>
        <w:t>同时废止。</w:t>
      </w:r>
    </w:p>
    <w:p w:rsidR="009F5CC9" w:rsidRPr="009F5CC9" w:rsidRDefault="009F5CC9" w:rsidP="009F5CC9">
      <w:pPr>
        <w:widowControl/>
        <w:shd w:val="clear" w:color="auto" w:fill="FFFFFF"/>
        <w:spacing w:line="440" w:lineRule="exact"/>
        <w:ind w:left="1556" w:hanging="918"/>
        <w:jc w:val="left"/>
        <w:rPr>
          <w:rFonts w:ascii="宋体" w:eastAsia="宋体" w:hAnsi="宋体" w:cs="宋体"/>
          <w:color w:val="000000" w:themeColor="text1"/>
          <w:kern w:val="0"/>
          <w:sz w:val="22"/>
        </w:rPr>
      </w:pPr>
      <w:r w:rsidRPr="009F5CC9">
        <w:rPr>
          <w:rFonts w:ascii="Times New Roman" w:eastAsia="宋体" w:hAnsi="Times New Roman" w:cs="Times New Roman"/>
          <w:color w:val="000000" w:themeColor="text1"/>
          <w:kern w:val="0"/>
          <w:sz w:val="22"/>
        </w:rPr>
        <w:t> </w:t>
      </w:r>
    </w:p>
    <w:p w:rsidR="009F5CC9" w:rsidRPr="009F5CC9" w:rsidRDefault="009F5CC9" w:rsidP="009F5CC9">
      <w:pPr>
        <w:widowControl/>
        <w:shd w:val="clear" w:color="auto" w:fill="FFFFFF"/>
        <w:spacing w:line="440" w:lineRule="exact"/>
        <w:ind w:firstLine="640"/>
        <w:jc w:val="left"/>
        <w:rPr>
          <w:rFonts w:ascii="宋体" w:eastAsia="宋体" w:hAnsi="宋体" w:cs="宋体"/>
          <w:color w:val="000000" w:themeColor="text1"/>
          <w:kern w:val="0"/>
          <w:sz w:val="22"/>
        </w:rPr>
      </w:pPr>
      <w:r w:rsidRPr="009F5CC9">
        <w:rPr>
          <w:rFonts w:ascii="仿宋_GB2312" w:eastAsia="仿宋_GB2312" w:hAnsi="Times New Roman" w:cs="Times New Roman"/>
          <w:color w:val="000000" w:themeColor="text1"/>
          <w:kern w:val="0"/>
          <w:sz w:val="22"/>
        </w:rPr>
        <w:t>附件：湖南省省级行政事业单位通用办公设备和办公家具配置限额标准</w:t>
      </w:r>
    </w:p>
    <w:p w:rsidR="009F5CC9" w:rsidRPr="009F5CC9" w:rsidRDefault="009F5CC9" w:rsidP="009F5CC9">
      <w:pPr>
        <w:widowControl/>
        <w:shd w:val="clear" w:color="auto" w:fill="FFFFFF"/>
        <w:spacing w:line="440" w:lineRule="exact"/>
        <w:ind w:left="1556" w:hanging="918"/>
        <w:jc w:val="left"/>
        <w:rPr>
          <w:rFonts w:ascii="宋体" w:eastAsia="宋体" w:hAnsi="宋体" w:cs="宋体"/>
          <w:color w:val="000000" w:themeColor="text1"/>
          <w:kern w:val="0"/>
          <w:sz w:val="22"/>
        </w:rPr>
      </w:pPr>
      <w:r w:rsidRPr="009F5CC9">
        <w:rPr>
          <w:rFonts w:ascii="Times New Roman" w:eastAsia="宋体" w:hAnsi="Times New Roman" w:cs="Times New Roman"/>
          <w:color w:val="000000" w:themeColor="text1"/>
          <w:kern w:val="0"/>
          <w:sz w:val="22"/>
        </w:rPr>
        <w:t>    </w:t>
      </w:r>
    </w:p>
    <w:p w:rsidR="009F5CC9" w:rsidRPr="009F5CC9" w:rsidRDefault="009F5CC9" w:rsidP="009F5CC9">
      <w:pPr>
        <w:widowControl/>
        <w:shd w:val="clear" w:color="auto" w:fill="FFFFFF"/>
        <w:spacing w:line="440" w:lineRule="exact"/>
        <w:ind w:left="1556" w:hanging="918"/>
        <w:jc w:val="left"/>
        <w:rPr>
          <w:rFonts w:ascii="宋体" w:eastAsia="宋体" w:hAnsi="宋体" w:cs="宋体"/>
          <w:color w:val="000000" w:themeColor="text1"/>
          <w:kern w:val="0"/>
          <w:sz w:val="22"/>
        </w:rPr>
      </w:pPr>
      <w:r w:rsidRPr="009F5CC9">
        <w:rPr>
          <w:rFonts w:ascii="Times New Roman" w:eastAsia="宋体" w:hAnsi="Times New Roman" w:cs="Times New Roman"/>
          <w:color w:val="000000" w:themeColor="text1"/>
          <w:kern w:val="0"/>
          <w:sz w:val="22"/>
        </w:rPr>
        <w:t> </w:t>
      </w:r>
    </w:p>
    <w:p w:rsidR="009F5CC9" w:rsidRPr="009F5CC9" w:rsidRDefault="009F5CC9" w:rsidP="009F5CC9">
      <w:pPr>
        <w:widowControl/>
        <w:shd w:val="clear" w:color="auto" w:fill="FFFFFF"/>
        <w:spacing w:line="440" w:lineRule="exact"/>
        <w:ind w:left="2159" w:hanging="563"/>
        <w:jc w:val="right"/>
        <w:rPr>
          <w:rFonts w:ascii="宋体" w:eastAsia="宋体" w:hAnsi="宋体" w:cs="宋体"/>
          <w:color w:val="000000" w:themeColor="text1"/>
          <w:kern w:val="0"/>
          <w:sz w:val="22"/>
        </w:rPr>
      </w:pPr>
      <w:r w:rsidRPr="009F5CC9">
        <w:rPr>
          <w:rFonts w:ascii="Times New Roman" w:eastAsia="宋体" w:hAnsi="Times New Roman" w:cs="Times New Roman"/>
          <w:color w:val="000000" w:themeColor="text1"/>
          <w:kern w:val="0"/>
          <w:sz w:val="22"/>
        </w:rPr>
        <w:t>                         </w:t>
      </w:r>
      <w:r w:rsidRPr="009F5CC9">
        <w:rPr>
          <w:rFonts w:ascii="仿宋_GB2312" w:eastAsia="仿宋_GB2312" w:hAnsi="Times New Roman" w:cs="Times New Roman"/>
          <w:color w:val="000000" w:themeColor="text1"/>
          <w:kern w:val="0"/>
          <w:sz w:val="22"/>
        </w:rPr>
        <w:t>湖南省财政厅</w:t>
      </w:r>
    </w:p>
    <w:p w:rsidR="009F5CC9" w:rsidRPr="009F5CC9" w:rsidRDefault="009F5CC9" w:rsidP="009F5CC9">
      <w:pPr>
        <w:widowControl/>
        <w:shd w:val="clear" w:color="auto" w:fill="FFFFFF"/>
        <w:spacing w:line="440" w:lineRule="exact"/>
        <w:ind w:firstLine="5440"/>
        <w:jc w:val="right"/>
        <w:rPr>
          <w:rFonts w:ascii="宋体" w:eastAsia="宋体" w:hAnsi="宋体" w:cs="宋体"/>
          <w:color w:val="000000" w:themeColor="text1"/>
          <w:kern w:val="0"/>
          <w:sz w:val="22"/>
        </w:rPr>
      </w:pPr>
      <w:r w:rsidRPr="009F5CC9">
        <w:rPr>
          <w:rFonts w:ascii="Times New Roman" w:eastAsia="宋体" w:hAnsi="Times New Roman" w:cs="Times New Roman"/>
          <w:color w:val="000000" w:themeColor="text1"/>
          <w:kern w:val="0"/>
          <w:sz w:val="22"/>
        </w:rPr>
        <w:t>2020</w:t>
      </w:r>
      <w:r w:rsidRPr="009F5CC9">
        <w:rPr>
          <w:rFonts w:ascii="仿宋_GB2312" w:eastAsia="仿宋_GB2312" w:hAnsi="Times New Roman" w:cs="Times New Roman"/>
          <w:color w:val="000000" w:themeColor="text1"/>
          <w:kern w:val="0"/>
          <w:sz w:val="22"/>
        </w:rPr>
        <w:t>年</w:t>
      </w:r>
      <w:r w:rsidRPr="009F5CC9">
        <w:rPr>
          <w:rFonts w:ascii="仿宋_GB2312" w:eastAsia="仿宋_GB2312" w:hAnsi="宋体" w:cs="宋体" w:hint="eastAsia"/>
          <w:color w:val="000000" w:themeColor="text1"/>
          <w:kern w:val="0"/>
          <w:sz w:val="22"/>
        </w:rPr>
        <w:t>7</w:t>
      </w:r>
      <w:r w:rsidRPr="009F5CC9">
        <w:rPr>
          <w:rFonts w:ascii="仿宋_GB2312" w:eastAsia="仿宋_GB2312" w:hAnsi="Times New Roman" w:cs="Times New Roman"/>
          <w:color w:val="000000" w:themeColor="text1"/>
          <w:kern w:val="0"/>
          <w:sz w:val="22"/>
        </w:rPr>
        <w:t>月</w:t>
      </w:r>
      <w:r w:rsidRPr="009F5CC9">
        <w:rPr>
          <w:rFonts w:ascii="仿宋_GB2312" w:eastAsia="仿宋_GB2312" w:hAnsi="宋体" w:cs="宋体" w:hint="eastAsia"/>
          <w:color w:val="000000" w:themeColor="text1"/>
          <w:kern w:val="0"/>
          <w:sz w:val="22"/>
        </w:rPr>
        <w:t>21</w:t>
      </w:r>
      <w:r w:rsidRPr="009F5CC9">
        <w:rPr>
          <w:rFonts w:ascii="仿宋_GB2312" w:eastAsia="仿宋_GB2312" w:hAnsi="Times New Roman" w:cs="Times New Roman"/>
          <w:color w:val="000000" w:themeColor="text1"/>
          <w:kern w:val="0"/>
          <w:sz w:val="22"/>
        </w:rPr>
        <w:t>日</w:t>
      </w:r>
    </w:p>
    <w:bookmarkEnd w:id="0"/>
    <w:p w:rsidR="009F5CC9" w:rsidRPr="009F5CC9" w:rsidRDefault="009F5CC9" w:rsidP="009F5CC9">
      <w:pPr>
        <w:widowControl/>
        <w:shd w:val="clear" w:color="auto" w:fill="FFFFFF"/>
        <w:spacing w:line="440" w:lineRule="exact"/>
        <w:jc w:val="left"/>
        <w:rPr>
          <w:rFonts w:ascii="宋体" w:eastAsia="宋体" w:hAnsi="宋体" w:cs="宋体"/>
          <w:color w:val="000000" w:themeColor="text1"/>
          <w:kern w:val="0"/>
          <w:sz w:val="22"/>
        </w:rPr>
      </w:pPr>
      <w:r w:rsidRPr="009F5CC9">
        <w:rPr>
          <w:rFonts w:ascii="宋体" w:eastAsia="宋体" w:hAnsi="宋体" w:cs="宋体" w:hint="eastAsia"/>
          <w:color w:val="000000" w:themeColor="text1"/>
          <w:kern w:val="0"/>
          <w:sz w:val="22"/>
        </w:rPr>
        <w:t> </w:t>
      </w:r>
    </w:p>
    <w:p w:rsidR="009F5CC9" w:rsidRPr="009F5CC9" w:rsidRDefault="009F5CC9" w:rsidP="009F5CC9">
      <w:pPr>
        <w:widowControl/>
        <w:shd w:val="clear" w:color="auto" w:fill="FFFFFF"/>
        <w:spacing w:line="440" w:lineRule="exact"/>
        <w:jc w:val="left"/>
        <w:rPr>
          <w:rFonts w:ascii="宋体" w:eastAsia="宋体" w:hAnsi="宋体" w:cs="宋体"/>
          <w:color w:val="000000" w:themeColor="text1"/>
          <w:kern w:val="0"/>
          <w:sz w:val="22"/>
        </w:rPr>
      </w:pPr>
      <w:r w:rsidRPr="009F5CC9">
        <w:rPr>
          <w:rFonts w:ascii="宋体" w:eastAsia="宋体" w:hAnsi="宋体" w:cs="宋体" w:hint="eastAsia"/>
          <w:color w:val="000000" w:themeColor="text1"/>
          <w:kern w:val="0"/>
          <w:sz w:val="22"/>
        </w:rPr>
        <w:t> </w:t>
      </w:r>
    </w:p>
    <w:p w:rsidR="009F5CC9" w:rsidRPr="009F5CC9" w:rsidRDefault="009F5CC9" w:rsidP="009F5CC9">
      <w:pPr>
        <w:widowControl/>
        <w:shd w:val="clear" w:color="auto" w:fill="FFFFFF"/>
        <w:spacing w:line="440" w:lineRule="exact"/>
        <w:jc w:val="left"/>
        <w:rPr>
          <w:rFonts w:ascii="宋体" w:eastAsia="宋体" w:hAnsi="宋体" w:cs="宋体"/>
          <w:color w:val="000000" w:themeColor="text1"/>
          <w:kern w:val="0"/>
          <w:sz w:val="22"/>
        </w:rPr>
      </w:pPr>
      <w:r w:rsidRPr="009F5CC9">
        <w:rPr>
          <w:rFonts w:ascii="宋体" w:eastAsia="宋体" w:hAnsi="宋体" w:cs="宋体" w:hint="eastAsia"/>
          <w:color w:val="000000" w:themeColor="text1"/>
          <w:kern w:val="0"/>
          <w:sz w:val="22"/>
        </w:rPr>
        <w:t> </w:t>
      </w:r>
    </w:p>
    <w:p w:rsidR="009F5CC9" w:rsidRPr="009F5CC9" w:rsidRDefault="009F5CC9" w:rsidP="009F5CC9">
      <w:pPr>
        <w:widowControl/>
        <w:shd w:val="clear" w:color="auto" w:fill="FFFFFF"/>
        <w:spacing w:line="440" w:lineRule="exact"/>
        <w:jc w:val="left"/>
        <w:rPr>
          <w:rFonts w:ascii="宋体" w:eastAsia="宋体" w:hAnsi="宋体" w:cs="宋体"/>
          <w:color w:val="000000" w:themeColor="text1"/>
          <w:kern w:val="0"/>
          <w:sz w:val="22"/>
        </w:rPr>
      </w:pPr>
      <w:r w:rsidRPr="009F5CC9">
        <w:rPr>
          <w:rFonts w:ascii="宋体" w:eastAsia="宋体" w:hAnsi="宋体" w:cs="宋体" w:hint="eastAsia"/>
          <w:color w:val="000000" w:themeColor="text1"/>
          <w:kern w:val="0"/>
          <w:sz w:val="22"/>
        </w:rPr>
        <w:t> </w:t>
      </w:r>
    </w:p>
    <w:p w:rsidR="009F5CC9" w:rsidRPr="009F5CC9" w:rsidRDefault="009F5CC9" w:rsidP="009F5CC9">
      <w:pPr>
        <w:widowControl/>
        <w:shd w:val="clear" w:color="auto" w:fill="FFFFFF"/>
        <w:spacing w:line="440" w:lineRule="exact"/>
        <w:jc w:val="left"/>
        <w:rPr>
          <w:rFonts w:ascii="宋体" w:eastAsia="宋体" w:hAnsi="宋体" w:cs="宋体"/>
          <w:color w:val="000000" w:themeColor="text1"/>
          <w:kern w:val="0"/>
          <w:sz w:val="22"/>
        </w:rPr>
      </w:pPr>
      <w:r w:rsidRPr="009F5CC9">
        <w:rPr>
          <w:rFonts w:ascii="宋体" w:eastAsia="宋体" w:hAnsi="宋体" w:cs="宋体" w:hint="eastAsia"/>
          <w:color w:val="000000" w:themeColor="text1"/>
          <w:kern w:val="0"/>
          <w:sz w:val="22"/>
        </w:rPr>
        <w:t> </w:t>
      </w:r>
    </w:p>
    <w:p w:rsidR="009F5CC9" w:rsidRPr="009F5CC9" w:rsidRDefault="009F5CC9" w:rsidP="009F5CC9">
      <w:pPr>
        <w:widowControl/>
        <w:shd w:val="clear" w:color="auto" w:fill="FFFFFF"/>
        <w:spacing w:line="440" w:lineRule="exact"/>
        <w:jc w:val="left"/>
        <w:rPr>
          <w:rFonts w:ascii="黑体" w:eastAsia="黑体" w:hAnsi="黑体" w:cs="宋体" w:hint="eastAsia"/>
          <w:color w:val="000000" w:themeColor="text1"/>
          <w:kern w:val="0"/>
          <w:sz w:val="22"/>
        </w:rPr>
      </w:pPr>
    </w:p>
    <w:p w:rsidR="009F5CC9" w:rsidRPr="009F5CC9" w:rsidRDefault="009F5CC9" w:rsidP="009F5CC9">
      <w:pPr>
        <w:widowControl/>
        <w:shd w:val="clear" w:color="auto" w:fill="FFFFFF"/>
        <w:spacing w:line="440" w:lineRule="exact"/>
        <w:jc w:val="left"/>
        <w:rPr>
          <w:rFonts w:ascii="黑体" w:eastAsia="黑体" w:hAnsi="黑体" w:cs="宋体" w:hint="eastAsia"/>
          <w:color w:val="000000" w:themeColor="text1"/>
          <w:kern w:val="0"/>
          <w:sz w:val="22"/>
        </w:rPr>
      </w:pPr>
    </w:p>
    <w:p w:rsidR="009F5CC9" w:rsidRPr="009F5CC9" w:rsidRDefault="009F5CC9" w:rsidP="009F5CC9">
      <w:pPr>
        <w:widowControl/>
        <w:shd w:val="clear" w:color="auto" w:fill="FFFFFF"/>
        <w:spacing w:line="440" w:lineRule="exact"/>
        <w:jc w:val="left"/>
        <w:rPr>
          <w:rFonts w:ascii="黑体" w:eastAsia="黑体" w:hAnsi="黑体" w:cs="宋体" w:hint="eastAsia"/>
          <w:color w:val="000000" w:themeColor="text1"/>
          <w:kern w:val="0"/>
          <w:sz w:val="22"/>
        </w:rPr>
      </w:pPr>
    </w:p>
    <w:p w:rsidR="009F5CC9" w:rsidRPr="009F5CC9" w:rsidRDefault="009F5CC9" w:rsidP="009F5CC9">
      <w:pPr>
        <w:widowControl/>
        <w:shd w:val="clear" w:color="auto" w:fill="FFFFFF"/>
        <w:spacing w:line="440" w:lineRule="exact"/>
        <w:jc w:val="left"/>
        <w:rPr>
          <w:rFonts w:ascii="黑体" w:eastAsia="黑体" w:hAnsi="黑体" w:cs="宋体" w:hint="eastAsia"/>
          <w:color w:val="000000" w:themeColor="text1"/>
          <w:kern w:val="0"/>
          <w:sz w:val="22"/>
        </w:rPr>
      </w:pPr>
    </w:p>
    <w:p w:rsidR="009F5CC9" w:rsidRPr="009F5CC9" w:rsidRDefault="009F5CC9" w:rsidP="009F5CC9">
      <w:pPr>
        <w:widowControl/>
        <w:shd w:val="clear" w:color="auto" w:fill="FFFFFF"/>
        <w:spacing w:line="440" w:lineRule="exact"/>
        <w:jc w:val="left"/>
        <w:rPr>
          <w:rFonts w:ascii="黑体" w:eastAsia="黑体" w:hAnsi="黑体" w:cs="宋体" w:hint="eastAsia"/>
          <w:color w:val="000000" w:themeColor="text1"/>
          <w:kern w:val="0"/>
          <w:sz w:val="22"/>
        </w:rPr>
      </w:pPr>
    </w:p>
    <w:p w:rsidR="009F5CC9" w:rsidRPr="009F5CC9" w:rsidRDefault="009F5CC9" w:rsidP="009F5CC9">
      <w:pPr>
        <w:widowControl/>
        <w:shd w:val="clear" w:color="auto" w:fill="FFFFFF"/>
        <w:spacing w:line="440" w:lineRule="exact"/>
        <w:jc w:val="left"/>
        <w:rPr>
          <w:rFonts w:ascii="黑体" w:eastAsia="黑体" w:hAnsi="黑体" w:cs="宋体" w:hint="eastAsia"/>
          <w:color w:val="000000" w:themeColor="text1"/>
          <w:kern w:val="0"/>
          <w:sz w:val="22"/>
        </w:rPr>
      </w:pPr>
    </w:p>
    <w:p w:rsidR="009F5CC9" w:rsidRPr="009F5CC9" w:rsidRDefault="009F5CC9" w:rsidP="009F5CC9">
      <w:pPr>
        <w:widowControl/>
        <w:shd w:val="clear" w:color="auto" w:fill="FFFFFF"/>
        <w:spacing w:line="440" w:lineRule="exact"/>
        <w:jc w:val="left"/>
        <w:rPr>
          <w:rFonts w:ascii="黑体" w:eastAsia="黑体" w:hAnsi="黑体" w:cs="宋体" w:hint="eastAsia"/>
          <w:color w:val="000000" w:themeColor="text1"/>
          <w:kern w:val="0"/>
          <w:sz w:val="22"/>
        </w:rPr>
      </w:pPr>
    </w:p>
    <w:p w:rsidR="009F5CC9" w:rsidRPr="009F5CC9" w:rsidRDefault="009F5CC9" w:rsidP="009F5CC9">
      <w:pPr>
        <w:widowControl/>
        <w:shd w:val="clear" w:color="auto" w:fill="FFFFFF"/>
        <w:spacing w:line="440" w:lineRule="exact"/>
        <w:jc w:val="left"/>
        <w:rPr>
          <w:rFonts w:ascii="黑体" w:eastAsia="黑体" w:hAnsi="黑体" w:cs="宋体" w:hint="eastAsia"/>
          <w:color w:val="000000" w:themeColor="text1"/>
          <w:kern w:val="0"/>
          <w:sz w:val="22"/>
        </w:rPr>
      </w:pPr>
    </w:p>
    <w:p w:rsidR="009F5CC9" w:rsidRPr="009F5CC9" w:rsidRDefault="009F5CC9" w:rsidP="009F5CC9">
      <w:pPr>
        <w:widowControl/>
        <w:shd w:val="clear" w:color="auto" w:fill="FFFFFF"/>
        <w:spacing w:line="440" w:lineRule="exact"/>
        <w:jc w:val="left"/>
        <w:rPr>
          <w:rFonts w:ascii="黑体" w:eastAsia="黑体" w:hAnsi="黑体" w:cs="宋体" w:hint="eastAsia"/>
          <w:color w:val="000000" w:themeColor="text1"/>
          <w:kern w:val="0"/>
          <w:sz w:val="22"/>
        </w:rPr>
      </w:pPr>
    </w:p>
    <w:p w:rsidR="009F5CC9" w:rsidRPr="009F5CC9" w:rsidRDefault="009F5CC9" w:rsidP="009F5CC9">
      <w:pPr>
        <w:widowControl/>
        <w:shd w:val="clear" w:color="auto" w:fill="FFFFFF"/>
        <w:spacing w:line="440" w:lineRule="exact"/>
        <w:jc w:val="left"/>
        <w:rPr>
          <w:rFonts w:ascii="黑体" w:eastAsia="黑体" w:hAnsi="黑体" w:cs="宋体" w:hint="eastAsia"/>
          <w:color w:val="000000" w:themeColor="text1"/>
          <w:kern w:val="0"/>
          <w:sz w:val="22"/>
        </w:rPr>
      </w:pPr>
    </w:p>
    <w:p w:rsidR="009F5CC9" w:rsidRPr="009F5CC9" w:rsidRDefault="009F5CC9" w:rsidP="009F5CC9">
      <w:pPr>
        <w:widowControl/>
        <w:shd w:val="clear" w:color="auto" w:fill="FFFFFF"/>
        <w:spacing w:line="440" w:lineRule="exact"/>
        <w:jc w:val="left"/>
        <w:rPr>
          <w:rFonts w:ascii="黑体" w:eastAsia="黑体" w:hAnsi="黑体" w:cs="宋体" w:hint="eastAsia"/>
          <w:color w:val="000000" w:themeColor="text1"/>
          <w:kern w:val="0"/>
          <w:sz w:val="22"/>
        </w:rPr>
      </w:pPr>
    </w:p>
    <w:p w:rsidR="009F5CC9" w:rsidRPr="009F5CC9" w:rsidRDefault="009F5CC9" w:rsidP="009F5CC9">
      <w:pPr>
        <w:widowControl/>
        <w:shd w:val="clear" w:color="auto" w:fill="FFFFFF"/>
        <w:spacing w:line="440" w:lineRule="exact"/>
        <w:jc w:val="left"/>
        <w:rPr>
          <w:rFonts w:ascii="黑体" w:eastAsia="黑体" w:hAnsi="黑体" w:cs="宋体"/>
          <w:color w:val="000000" w:themeColor="text1"/>
          <w:kern w:val="0"/>
          <w:sz w:val="22"/>
        </w:rPr>
        <w:sectPr w:rsidR="009F5CC9" w:rsidRPr="009F5CC9">
          <w:pgSz w:w="11906" w:h="16838"/>
          <w:pgMar w:top="1440" w:right="1800" w:bottom="1440" w:left="1800" w:header="851" w:footer="992" w:gutter="0"/>
          <w:cols w:space="425"/>
          <w:docGrid w:type="lines" w:linePitch="312"/>
        </w:sectPr>
      </w:pPr>
    </w:p>
    <w:p w:rsidR="009F5CC9" w:rsidRPr="009F5CC9" w:rsidRDefault="009F5CC9" w:rsidP="009F5CC9">
      <w:pPr>
        <w:widowControl/>
        <w:shd w:val="clear" w:color="auto" w:fill="FFFFFF"/>
        <w:spacing w:line="440" w:lineRule="exact"/>
        <w:jc w:val="left"/>
        <w:rPr>
          <w:rFonts w:ascii="微软雅黑" w:eastAsia="微软雅黑" w:hAnsi="微软雅黑" w:cs="宋体"/>
          <w:color w:val="000000" w:themeColor="text1"/>
          <w:kern w:val="0"/>
          <w:sz w:val="22"/>
        </w:rPr>
      </w:pPr>
      <w:r w:rsidRPr="009F5CC9">
        <w:rPr>
          <w:rFonts w:ascii="黑体" w:eastAsia="黑体" w:hAnsi="黑体" w:cs="宋体" w:hint="eastAsia"/>
          <w:color w:val="000000" w:themeColor="text1"/>
          <w:kern w:val="0"/>
          <w:sz w:val="22"/>
        </w:rPr>
        <w:lastRenderedPageBreak/>
        <w:br w:type="textWrapping" w:clear="all"/>
      </w:r>
    </w:p>
    <w:p w:rsidR="009F5CC9" w:rsidRPr="009F5CC9" w:rsidRDefault="009F5CC9" w:rsidP="009F5CC9">
      <w:pPr>
        <w:widowControl/>
        <w:shd w:val="clear" w:color="auto" w:fill="FFFFFF"/>
        <w:spacing w:before="120" w:after="120" w:line="440" w:lineRule="exact"/>
        <w:jc w:val="left"/>
        <w:rPr>
          <w:rFonts w:ascii="宋体" w:eastAsia="宋体" w:hAnsi="宋体" w:cs="宋体" w:hint="eastAsia"/>
          <w:color w:val="000000" w:themeColor="text1"/>
          <w:kern w:val="0"/>
          <w:sz w:val="22"/>
        </w:rPr>
      </w:pPr>
      <w:r w:rsidRPr="009F5CC9">
        <w:rPr>
          <w:rFonts w:ascii="黑体" w:eastAsia="黑体" w:hAnsi="黑体" w:cs="宋体" w:hint="eastAsia"/>
          <w:color w:val="000000" w:themeColor="text1"/>
          <w:kern w:val="0"/>
          <w:sz w:val="22"/>
        </w:rPr>
        <w:t>附件</w:t>
      </w:r>
    </w:p>
    <w:p w:rsidR="009F5CC9" w:rsidRPr="009F5CC9" w:rsidRDefault="009F5CC9" w:rsidP="009F5CC9">
      <w:pPr>
        <w:widowControl/>
        <w:shd w:val="clear" w:color="auto" w:fill="FFFFFF"/>
        <w:spacing w:before="120" w:after="120" w:line="440" w:lineRule="exact"/>
        <w:jc w:val="center"/>
        <w:rPr>
          <w:rFonts w:ascii="宋体" w:eastAsia="宋体" w:hAnsi="宋体" w:cs="宋体"/>
          <w:color w:val="000000" w:themeColor="text1"/>
          <w:kern w:val="0"/>
          <w:sz w:val="22"/>
        </w:rPr>
      </w:pPr>
      <w:r w:rsidRPr="009F5CC9">
        <w:rPr>
          <w:rFonts w:ascii="方正小标宋_GBK" w:eastAsia="方正小标宋_GBK" w:hAnsi="宋体" w:cs="宋体" w:hint="eastAsia"/>
          <w:color w:val="000000" w:themeColor="text1"/>
          <w:kern w:val="0"/>
          <w:sz w:val="22"/>
        </w:rPr>
        <w:t>湖南省省级行政事业单位通用办公设备和办公家具配置限额标准</w:t>
      </w:r>
    </w:p>
    <w:tbl>
      <w:tblPr>
        <w:tblW w:w="15486" w:type="dxa"/>
        <w:jc w:val="center"/>
        <w:tblCellMar>
          <w:top w:w="15" w:type="dxa"/>
          <w:left w:w="15" w:type="dxa"/>
          <w:bottom w:w="15" w:type="dxa"/>
          <w:right w:w="15" w:type="dxa"/>
        </w:tblCellMar>
        <w:tblLook w:val="04A0" w:firstRow="1" w:lastRow="0" w:firstColumn="1" w:lastColumn="0" w:noHBand="0" w:noVBand="1"/>
      </w:tblPr>
      <w:tblGrid>
        <w:gridCol w:w="1427"/>
        <w:gridCol w:w="1603"/>
        <w:gridCol w:w="1803"/>
        <w:gridCol w:w="5407"/>
        <w:gridCol w:w="1087"/>
        <w:gridCol w:w="1500"/>
        <w:gridCol w:w="747"/>
        <w:gridCol w:w="1912"/>
      </w:tblGrid>
      <w:tr w:rsidR="009F5CC9" w:rsidRPr="009F5CC9" w:rsidTr="009F5CC9">
        <w:trPr>
          <w:jc w:val="center"/>
        </w:trPr>
        <w:tc>
          <w:tcPr>
            <w:tcW w:w="483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黑体" w:eastAsia="黑体" w:hAnsi="黑体" w:cs="宋体" w:hint="eastAsia"/>
                <w:color w:val="000000" w:themeColor="text1"/>
                <w:kern w:val="0"/>
                <w:sz w:val="22"/>
              </w:rPr>
              <w:t xml:space="preserve">资产品目 </w:t>
            </w:r>
            <w:r w:rsidRPr="009F5CC9">
              <w:rPr>
                <w:rFonts w:ascii="宋体" w:eastAsia="宋体" w:hAnsi="宋体" w:cs="宋体" w:hint="eastAsia"/>
                <w:color w:val="000000" w:themeColor="text1"/>
                <w:kern w:val="0"/>
                <w:sz w:val="22"/>
              </w:rPr>
              <w:t> </w:t>
            </w:r>
          </w:p>
        </w:tc>
        <w:tc>
          <w:tcPr>
            <w:tcW w:w="54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黑体" w:eastAsia="黑体" w:hAnsi="黑体" w:cs="宋体" w:hint="eastAsia"/>
                <w:color w:val="000000" w:themeColor="text1"/>
                <w:kern w:val="0"/>
                <w:sz w:val="22"/>
              </w:rPr>
              <w:t>实物量上限</w:t>
            </w:r>
          </w:p>
        </w:tc>
        <w:tc>
          <w:tcPr>
            <w:tcW w:w="25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黑体" w:eastAsia="黑体" w:hAnsi="黑体" w:cs="宋体" w:hint="eastAsia"/>
                <w:color w:val="000000" w:themeColor="text1"/>
                <w:kern w:val="0"/>
                <w:sz w:val="22"/>
              </w:rPr>
              <w:t>预算上限</w:t>
            </w:r>
          </w:p>
        </w:tc>
        <w:tc>
          <w:tcPr>
            <w:tcW w:w="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黑体" w:eastAsia="黑体" w:hAnsi="黑体" w:cs="宋体" w:hint="eastAsia"/>
                <w:color w:val="000000" w:themeColor="text1"/>
                <w:kern w:val="0"/>
                <w:sz w:val="22"/>
              </w:rPr>
              <w:t>最低使用年限</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黑体" w:eastAsia="黑体" w:hAnsi="黑体" w:cs="宋体" w:hint="eastAsia"/>
                <w:color w:val="000000" w:themeColor="text1"/>
                <w:kern w:val="0"/>
                <w:sz w:val="22"/>
              </w:rPr>
              <w:t>性能要求</w:t>
            </w:r>
          </w:p>
        </w:tc>
      </w:tr>
      <w:tr w:rsidR="009F5CC9" w:rsidRPr="009F5CC9" w:rsidTr="009F5CC9">
        <w:trPr>
          <w:jc w:val="center"/>
        </w:trPr>
        <w:tc>
          <w:tcPr>
            <w:tcW w:w="1548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一、通用办公设备</w:t>
            </w:r>
          </w:p>
        </w:tc>
      </w:tr>
      <w:tr w:rsidR="009F5CC9" w:rsidRPr="009F5CC9" w:rsidTr="009F5CC9">
        <w:trPr>
          <w:jc w:val="center"/>
        </w:trPr>
        <w:tc>
          <w:tcPr>
            <w:tcW w:w="1548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（一）办公设备</w:t>
            </w:r>
          </w:p>
        </w:tc>
      </w:tr>
      <w:tr w:rsidR="009F5CC9" w:rsidRPr="009F5CC9" w:rsidTr="009F5CC9">
        <w:trPr>
          <w:jc w:val="center"/>
        </w:trPr>
        <w:tc>
          <w:tcPr>
            <w:tcW w:w="14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1、计算机</w:t>
            </w:r>
          </w:p>
        </w:tc>
        <w:tc>
          <w:tcPr>
            <w:tcW w:w="340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（1）台式计算机（含预装正版操作系统软件）</w:t>
            </w:r>
          </w:p>
        </w:tc>
        <w:tc>
          <w:tcPr>
            <w:tcW w:w="54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结合单位办公网络布置以及保密管理的规定合理配置。涉密单位台式计算机配置实物量上限为单位编制内实有人数的150%；非涉密单位台式计算机配置实物量上限为单位编制内实有人数的100%。</w:t>
            </w:r>
          </w:p>
        </w:tc>
        <w:tc>
          <w:tcPr>
            <w:tcW w:w="10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5000元</w:t>
            </w:r>
          </w:p>
        </w:tc>
        <w:tc>
          <w:tcPr>
            <w:tcW w:w="15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省直党政机关采购计算机应执行国家有关替代工作要求。</w:t>
            </w:r>
          </w:p>
        </w:tc>
        <w:tc>
          <w:tcPr>
            <w:tcW w:w="74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6年</w:t>
            </w:r>
          </w:p>
        </w:tc>
        <w:tc>
          <w:tcPr>
            <w:tcW w:w="19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按照《中华人民共和国政府采购法》的规定，配置具有较强安全性、稳定性、兼容性，且能耗低、维修便利的设备，不得配置高端设备</w:t>
            </w:r>
          </w:p>
        </w:tc>
      </w:tr>
      <w:tr w:rsidR="009F5CC9" w:rsidRPr="009F5CC9" w:rsidTr="009F5CC9">
        <w:trPr>
          <w:trHeight w:val="856"/>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3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（2）便携式计算机（含预装正版操作系统软件）</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便携式计算机配置实物量上限为单位编制内实有人数的50%。外勤单位可增加便携式计算机数量，同时酌情减少相应数量的台式计算机。</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7500元</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trHeight w:val="427"/>
          <w:jc w:val="center"/>
        </w:trPr>
        <w:tc>
          <w:tcPr>
            <w:tcW w:w="14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2、打印机</w:t>
            </w:r>
          </w:p>
        </w:tc>
        <w:tc>
          <w:tcPr>
            <w:tcW w:w="160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（1）A4打印机</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黑白</w:t>
            </w:r>
          </w:p>
        </w:tc>
        <w:tc>
          <w:tcPr>
            <w:tcW w:w="540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单位A3和A4打印机的配置实物量上限按单位编制内实</w:t>
            </w:r>
            <w:r w:rsidRPr="009F5CC9">
              <w:rPr>
                <w:rFonts w:ascii="仿宋_GB2312" w:eastAsia="仿宋_GB2312" w:hAnsi="宋体" w:cs="宋体" w:hint="eastAsia"/>
                <w:color w:val="000000" w:themeColor="text1"/>
                <w:kern w:val="0"/>
                <w:sz w:val="22"/>
              </w:rPr>
              <w:lastRenderedPageBreak/>
              <w:t>有人数的80%计算，由单位根据工作需要选择配置A3或A4打印机。其中， A3打印机配置实物量上限按单位编制内实有人数的15%计算。原则上不配备彩色打印机，确有需要的，经单位资产管理部门负责人同意后根据工作需要合理配置，配置实物量上限按单位编制内实有人数的3%计算。</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lastRenderedPageBreak/>
              <w:t>1200元</w:t>
            </w:r>
          </w:p>
        </w:tc>
        <w:tc>
          <w:tcPr>
            <w:tcW w:w="15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省直党政机</w:t>
            </w:r>
            <w:r w:rsidRPr="009F5CC9">
              <w:rPr>
                <w:rFonts w:ascii="仿宋_GB2312" w:eastAsia="仿宋_GB2312" w:hAnsi="宋体" w:cs="宋体" w:hint="eastAsia"/>
                <w:color w:val="000000" w:themeColor="text1"/>
                <w:kern w:val="0"/>
                <w:sz w:val="22"/>
              </w:rPr>
              <w:lastRenderedPageBreak/>
              <w:t>关采购打印机、复印机、速印机、扫描仪、一体机、碎纸机等信息设备，应执行国家有关替代工作要求。</w:t>
            </w:r>
          </w:p>
        </w:tc>
        <w:tc>
          <w:tcPr>
            <w:tcW w:w="747"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lastRenderedPageBreak/>
              <w:t>6年</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trHeight w:val="331"/>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彩色</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2000元</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trHeight w:val="226"/>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160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（2）A3打印机</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黑白</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7600元</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彩色</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15000元</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483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3、速印机(每分钟可复印60张以上)</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按照不超过单位编制内实有人数的1%配置。不足100人的根据工作需要可配置1台。</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35000元</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74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6年或复印30万张纸</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14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4、复印机</w:t>
            </w:r>
          </w:p>
        </w:tc>
        <w:tc>
          <w:tcPr>
            <w:tcW w:w="3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（1）中档复印机</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编制内实有人数在100人以内的单位，每20人可以配置1台复印机，不足20人的按20人计算；编制内实有人数在100人以上的单位，超出100人的部分每30人可以配置1台复印机，不足30人的按30人计算。</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20000元</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3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（2）高档复印机</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按照不超过单位编制内实有人数的1%配置。不足100人的根据工作需要可配置1台。</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40000元</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14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5、扫描仪</w:t>
            </w:r>
          </w:p>
        </w:tc>
        <w:tc>
          <w:tcPr>
            <w:tcW w:w="3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（1）便携式扫描仪</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配置实物量上限按单位编制内实有人数的5%计算</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1500元</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747"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6年</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3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（2）高速双面扫描仪</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按照不超过单位编制内实有人数的1%配置。不足100人的根据工作需要可配置1台。</w:t>
            </w:r>
          </w:p>
        </w:tc>
        <w:tc>
          <w:tcPr>
            <w:tcW w:w="1087" w:type="dxa"/>
            <w:tcBorders>
              <w:top w:val="nil"/>
              <w:left w:val="nil"/>
              <w:bottom w:val="nil"/>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25000元</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483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6、一体机/传真机</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配置实物量上限按单位编制内实有人数的30%计算</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2800元</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6年</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483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lastRenderedPageBreak/>
              <w:t>7、碎纸机</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配置实物量上限按单位编制内实有人数的5%计算</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1000元</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6年</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14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8、投影仪</w:t>
            </w:r>
          </w:p>
        </w:tc>
        <w:tc>
          <w:tcPr>
            <w:tcW w:w="3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1）固定式</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使用面积在80平方米以上的会议室可配置1台</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25000元</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6年</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trHeight w:val="1306"/>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3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2）便携式</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编制内实有人数在100人以内的单位，每20人可以配置1台投影仪，不足20人的按20人计算；编制内实有人数在100人以上的单位，超出100人的部分每30人可以配置1台投影仪，不足30人的按30人计算。</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2800元</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6年</w:t>
            </w:r>
          </w:p>
        </w:tc>
        <w:tc>
          <w:tcPr>
            <w:tcW w:w="19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按照《中华人民共和国政府采购法》的规定，配置具有较强安全性、稳定性、兼容性，且能耗低、维修便利的设备，不得配置高端设备</w:t>
            </w:r>
          </w:p>
        </w:tc>
      </w:tr>
      <w:tr w:rsidR="009F5CC9" w:rsidRPr="009F5CC9" w:rsidTr="009F5CC9">
        <w:trPr>
          <w:jc w:val="center"/>
        </w:trPr>
        <w:tc>
          <w:tcPr>
            <w:tcW w:w="14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9、数码摄录设备</w:t>
            </w:r>
          </w:p>
        </w:tc>
        <w:tc>
          <w:tcPr>
            <w:tcW w:w="3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（1）单反相机（含镜头）</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确因工作需要，每单位可配置1台</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15000元</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8年</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3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（2）普通相机（含镜头）</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按不超过单位编制内实有人数的5%配置</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4000元</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6年</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trHeight w:val="491"/>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3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（3）数码摄录机</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按照不超过单位编制内实有人数的1%配置。不足100人的根据业务需要可配置1台</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6000元</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8年</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14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10、会议室音响设备（包括调音台、功放、DVD、音箱、话筒、投影或大屏幕平板电视等）</w:t>
            </w:r>
          </w:p>
        </w:tc>
        <w:tc>
          <w:tcPr>
            <w:tcW w:w="3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1、小型会议室音响设备</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使用面积在50平方米以下（不含50平方米）的会议室</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30000元</w:t>
            </w:r>
          </w:p>
        </w:tc>
        <w:tc>
          <w:tcPr>
            <w:tcW w:w="74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10年</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3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2、中型会议室音响设备</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使用面积在50-100平方米（不含100平方米）的会议室</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60000元</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trHeight w:val="1062"/>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3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3、大型会议室音响设备</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使用面积在100平方米以上（含100平方米）的会议室</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每50平方米音响设备配置总价不超过30000元，不足50平方米的按50平方米计算。</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trHeight w:val="689"/>
          <w:jc w:val="center"/>
        </w:trPr>
        <w:tc>
          <w:tcPr>
            <w:tcW w:w="14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lastRenderedPageBreak/>
              <w:t>11、空调设备</w:t>
            </w:r>
          </w:p>
        </w:tc>
        <w:tc>
          <w:tcPr>
            <w:tcW w:w="3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1、中央空调</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单位办公、业务用房使用面积未超过5000平方米的，原则上</w:t>
            </w:r>
            <w:proofErr w:type="gramStart"/>
            <w:r w:rsidRPr="009F5CC9">
              <w:rPr>
                <w:rFonts w:ascii="仿宋_GB2312" w:eastAsia="仿宋_GB2312" w:hAnsi="宋体" w:cs="宋体" w:hint="eastAsia"/>
                <w:color w:val="000000" w:themeColor="text1"/>
                <w:kern w:val="0"/>
                <w:sz w:val="22"/>
              </w:rPr>
              <w:t>不</w:t>
            </w:r>
            <w:proofErr w:type="gramEnd"/>
            <w:r w:rsidRPr="009F5CC9">
              <w:rPr>
                <w:rFonts w:ascii="仿宋_GB2312" w:eastAsia="仿宋_GB2312" w:hAnsi="宋体" w:cs="宋体" w:hint="eastAsia"/>
                <w:color w:val="000000" w:themeColor="text1"/>
                <w:kern w:val="0"/>
                <w:sz w:val="22"/>
              </w:rPr>
              <w:t>配置中央空调（基本建设立项批准除外）</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10000元/</w:t>
            </w:r>
            <w:proofErr w:type="gramStart"/>
            <w:r w:rsidRPr="009F5CC9">
              <w:rPr>
                <w:rFonts w:ascii="仿宋_GB2312" w:eastAsia="仿宋_GB2312" w:hAnsi="宋体" w:cs="宋体" w:hint="eastAsia"/>
                <w:color w:val="000000" w:themeColor="text1"/>
                <w:kern w:val="0"/>
                <w:sz w:val="22"/>
              </w:rPr>
              <w:t>冷吨</w:t>
            </w:r>
            <w:proofErr w:type="gramEnd"/>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15年</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160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2、分体空调（已安装中央空调的原则上不再配）</w:t>
            </w:r>
          </w:p>
        </w:tc>
        <w:tc>
          <w:tcPr>
            <w:tcW w:w="180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（1）办公室空调</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使用面积在20平方米以下（不含20平方米）的办公室可配置1台</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3000元</w:t>
            </w:r>
          </w:p>
        </w:tc>
        <w:tc>
          <w:tcPr>
            <w:tcW w:w="747"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8年</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使用面积在20-30平方米（不含30平方米）的办公室可配置1台</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4000元</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使用面积在30-40平方米（不含40平方米）的办公室可配置1台</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6000元</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trHeight w:val="868"/>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使用面积在40平方米以上（含40平方米）的办公室</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每20平方米空调配置总价不超过5000元，不足20平方米的按20平方米计算。</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trHeight w:val="295"/>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180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（2）会议室空调</w:t>
            </w:r>
          </w:p>
        </w:tc>
        <w:tc>
          <w:tcPr>
            <w:tcW w:w="54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使用面积50平方米以下（不含50平方米）的会议室</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空调配置总价不超过9000元</w:t>
            </w:r>
          </w:p>
        </w:tc>
        <w:tc>
          <w:tcPr>
            <w:tcW w:w="747"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8年</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trHeight w:val="286"/>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54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使用面积50-100平方米（不含100平方米）的会议室</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空调配置总价不超过18000元</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trHeight w:val="990"/>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54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使用面积100平方米以上(含100平方米)的会议室</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每50平方米空调配置总价不超过9000元，不足50平方米的按50平方米计算。</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1548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二、通用办公家具</w:t>
            </w:r>
          </w:p>
        </w:tc>
      </w:tr>
      <w:tr w:rsidR="009F5CC9" w:rsidRPr="009F5CC9" w:rsidTr="009F5CC9">
        <w:trPr>
          <w:jc w:val="center"/>
        </w:trPr>
        <w:tc>
          <w:tcPr>
            <w:tcW w:w="1548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（一）办公室家具</w:t>
            </w:r>
          </w:p>
        </w:tc>
      </w:tr>
      <w:tr w:rsidR="009F5CC9" w:rsidRPr="009F5CC9" w:rsidTr="009F5CC9">
        <w:trPr>
          <w:jc w:val="center"/>
        </w:trPr>
        <w:tc>
          <w:tcPr>
            <w:tcW w:w="4833" w:type="dxa"/>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1、办公桌</w:t>
            </w:r>
          </w:p>
        </w:tc>
        <w:tc>
          <w:tcPr>
            <w:tcW w:w="54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1套/人</w:t>
            </w:r>
          </w:p>
        </w:tc>
        <w:tc>
          <w:tcPr>
            <w:tcW w:w="25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厅局级：4,500元</w:t>
            </w:r>
          </w:p>
        </w:tc>
        <w:tc>
          <w:tcPr>
            <w:tcW w:w="74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15年</w:t>
            </w:r>
          </w:p>
        </w:tc>
        <w:tc>
          <w:tcPr>
            <w:tcW w:w="19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充分考虑办公布局，符合简朴实用、经典耐用要求，不得配置豪华家具，不得使用名贵木材</w:t>
            </w:r>
          </w:p>
        </w:tc>
      </w:tr>
      <w:tr w:rsidR="009F5CC9" w:rsidRPr="009F5CC9" w:rsidTr="009F5CC9">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处级及以下：3000元</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4833" w:type="dxa"/>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2、办公椅</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厅局级：1,500元</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处级及以下：800元</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trHeight w:val="373"/>
          <w:jc w:val="center"/>
        </w:trPr>
        <w:tc>
          <w:tcPr>
            <w:tcW w:w="14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3、沙发</w:t>
            </w:r>
          </w:p>
        </w:tc>
        <w:tc>
          <w:tcPr>
            <w:tcW w:w="3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三人沙发</w:t>
            </w:r>
          </w:p>
        </w:tc>
        <w:tc>
          <w:tcPr>
            <w:tcW w:w="540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视办公室使用面积，每个处级及以下办公室可以配置1个三人沙发或2个单人沙发；厅局级办公室可以配置1个三人沙发和2个单人沙发</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3000元</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3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单人沙发</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1500元</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14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4、茶几</w:t>
            </w:r>
          </w:p>
        </w:tc>
        <w:tc>
          <w:tcPr>
            <w:tcW w:w="3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大茶几</w:t>
            </w:r>
          </w:p>
        </w:tc>
        <w:tc>
          <w:tcPr>
            <w:tcW w:w="540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视办公室使用面积，每个办公室可以选择配置1个大茶几或者1个小茶几</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1000元</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3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小茶几</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2587" w:type="dxa"/>
            <w:gridSpan w:val="2"/>
            <w:tcBorders>
              <w:top w:val="nil"/>
              <w:left w:val="nil"/>
              <w:bottom w:val="nil"/>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800元</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483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5、桌前椅</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1个/办公室</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600元</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4833" w:type="dxa"/>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6、书柜</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厅级：2组/人</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2000元</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处级及以下：1组/人</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1200元</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4833" w:type="dxa"/>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7、文件柜</w:t>
            </w:r>
          </w:p>
        </w:tc>
        <w:tc>
          <w:tcPr>
            <w:tcW w:w="540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1组/人</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厅局级：2,000元</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处级及以下：1,000元</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4833" w:type="dxa"/>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8、更衣柜</w:t>
            </w:r>
          </w:p>
        </w:tc>
        <w:tc>
          <w:tcPr>
            <w:tcW w:w="540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1组/办公室</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厅局级：2,000元</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处级及以下：1,000元</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483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9、保密柜</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根据保密规定和工作需要合理配置</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3000元</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483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10、茶水柜</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1组/办公室</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1500元</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14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（二）会议室家具</w:t>
            </w:r>
          </w:p>
        </w:tc>
        <w:tc>
          <w:tcPr>
            <w:tcW w:w="3406"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1、会议桌</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使用面积在50平方米以下（不含50平方米）的会议室</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1400元/平方米</w:t>
            </w:r>
          </w:p>
        </w:tc>
        <w:tc>
          <w:tcPr>
            <w:tcW w:w="747"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15年</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gridSpan w:val="2"/>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使用面积在50-100平方米以下（不含100平方米）的会议室</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1000元/平方米</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gridSpan w:val="2"/>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使用面积在100平方米以上（含100平方米）的会议室</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800元/平方米</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0" w:type="auto"/>
            <w:vMerge/>
            <w:tcBorders>
              <w:top w:val="nil"/>
              <w:left w:val="single" w:sz="8" w:space="0" w:color="auto"/>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3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2、会议椅</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视会议室使用面积情况配置</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800元/张</w:t>
            </w:r>
          </w:p>
        </w:tc>
        <w:tc>
          <w:tcPr>
            <w:tcW w:w="0" w:type="auto"/>
            <w:vMerge/>
            <w:tcBorders>
              <w:top w:val="nil"/>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r w:rsidR="009F5CC9" w:rsidRPr="009F5CC9" w:rsidTr="009F5CC9">
        <w:trPr>
          <w:jc w:val="center"/>
        </w:trPr>
        <w:tc>
          <w:tcPr>
            <w:tcW w:w="483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（三）接待室家具</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视接待室使用面积情况配置</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900元/平方米</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5CC9" w:rsidRPr="009F5CC9" w:rsidRDefault="009F5CC9" w:rsidP="009F5CC9">
            <w:pPr>
              <w:widowControl/>
              <w:spacing w:line="440" w:lineRule="exact"/>
              <w:jc w:val="center"/>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15年</w:t>
            </w:r>
          </w:p>
        </w:tc>
        <w:tc>
          <w:tcPr>
            <w:tcW w:w="0" w:type="auto"/>
            <w:vMerge/>
            <w:tcBorders>
              <w:top w:val="single" w:sz="8" w:space="0" w:color="auto"/>
              <w:left w:val="nil"/>
              <w:bottom w:val="single" w:sz="8" w:space="0" w:color="auto"/>
              <w:right w:val="single" w:sz="8" w:space="0" w:color="auto"/>
            </w:tcBorders>
            <w:vAlign w:val="center"/>
            <w:hideMark/>
          </w:tcPr>
          <w:p w:rsidR="009F5CC9" w:rsidRPr="009F5CC9" w:rsidRDefault="009F5CC9" w:rsidP="009F5CC9">
            <w:pPr>
              <w:widowControl/>
              <w:spacing w:line="440" w:lineRule="exact"/>
              <w:jc w:val="left"/>
              <w:rPr>
                <w:rFonts w:ascii="宋体" w:eastAsia="宋体" w:hAnsi="宋体" w:cs="宋体"/>
                <w:color w:val="000000" w:themeColor="text1"/>
                <w:kern w:val="0"/>
                <w:sz w:val="22"/>
              </w:rPr>
            </w:pPr>
          </w:p>
        </w:tc>
      </w:tr>
    </w:tbl>
    <w:p w:rsidR="009F5CC9" w:rsidRPr="009F5CC9" w:rsidRDefault="009F5CC9" w:rsidP="009F5CC9">
      <w:pPr>
        <w:widowControl/>
        <w:shd w:val="clear" w:color="auto" w:fill="FFFFFF"/>
        <w:spacing w:line="440" w:lineRule="exact"/>
        <w:jc w:val="left"/>
        <w:rPr>
          <w:rFonts w:ascii="宋体" w:eastAsia="宋体" w:hAnsi="宋体" w:cs="宋体"/>
          <w:color w:val="000000" w:themeColor="text1"/>
          <w:kern w:val="0"/>
          <w:sz w:val="22"/>
        </w:rPr>
      </w:pPr>
      <w:r w:rsidRPr="009F5CC9">
        <w:rPr>
          <w:rFonts w:ascii="仿宋_GB2312" w:eastAsia="仿宋_GB2312" w:hAnsi="宋体" w:cs="宋体" w:hint="eastAsia"/>
          <w:color w:val="000000" w:themeColor="text1"/>
          <w:kern w:val="0"/>
          <w:sz w:val="22"/>
        </w:rPr>
        <w:t>备</w:t>
      </w:r>
      <w:r w:rsidRPr="009F5CC9">
        <w:rPr>
          <w:rFonts w:ascii="仿宋_GB2312" w:eastAsia="仿宋_GB2312" w:hAnsi="宋体" w:cs="宋体" w:hint="eastAsia"/>
          <w:color w:val="000000" w:themeColor="text1"/>
          <w:kern w:val="0"/>
          <w:sz w:val="22"/>
        </w:rPr>
        <w:t> </w:t>
      </w:r>
      <w:r w:rsidRPr="009F5CC9">
        <w:rPr>
          <w:rFonts w:ascii="仿宋_GB2312" w:eastAsia="仿宋_GB2312" w:hAnsi="宋体" w:cs="宋体" w:hint="eastAsia"/>
          <w:color w:val="000000" w:themeColor="text1"/>
          <w:kern w:val="0"/>
          <w:sz w:val="22"/>
        </w:rPr>
        <w:t>注：</w:t>
      </w:r>
      <w:r w:rsidRPr="009F5CC9">
        <w:rPr>
          <w:rFonts w:ascii="仿宋_GB2312" w:eastAsia="仿宋_GB2312" w:hAnsi="宋体" w:cs="宋体" w:hint="eastAsia"/>
          <w:color w:val="000000" w:themeColor="text1"/>
          <w:kern w:val="0"/>
          <w:sz w:val="22"/>
        </w:rPr>
        <w:t>   </w:t>
      </w:r>
      <w:r w:rsidRPr="009F5CC9">
        <w:rPr>
          <w:rFonts w:ascii="仿宋_GB2312" w:eastAsia="仿宋_GB2312" w:hAnsi="宋体" w:cs="宋体" w:hint="eastAsia"/>
          <w:color w:val="000000" w:themeColor="text1"/>
          <w:kern w:val="0"/>
          <w:sz w:val="22"/>
        </w:rPr>
        <w:t>配置具有组合功能的办公家具，价格不得高于各单项家具的价格之</w:t>
      </w:r>
      <w:proofErr w:type="gramStart"/>
      <w:r w:rsidRPr="009F5CC9">
        <w:rPr>
          <w:rFonts w:ascii="仿宋_GB2312" w:eastAsia="仿宋_GB2312" w:hAnsi="宋体" w:cs="宋体" w:hint="eastAsia"/>
          <w:color w:val="000000" w:themeColor="text1"/>
          <w:kern w:val="0"/>
          <w:sz w:val="22"/>
        </w:rPr>
        <w:t>和</w:t>
      </w:r>
      <w:proofErr w:type="gramEnd"/>
      <w:r w:rsidRPr="009F5CC9">
        <w:rPr>
          <w:rFonts w:ascii="仿宋_GB2312" w:eastAsia="仿宋_GB2312" w:hAnsi="宋体" w:cs="宋体" w:hint="eastAsia"/>
          <w:color w:val="000000" w:themeColor="text1"/>
          <w:kern w:val="0"/>
          <w:sz w:val="22"/>
        </w:rPr>
        <w:t>。</w:t>
      </w:r>
    </w:p>
    <w:p w:rsidR="00F67752" w:rsidRPr="009F5CC9" w:rsidRDefault="009F5CC9" w:rsidP="009F5CC9">
      <w:pPr>
        <w:spacing w:line="440" w:lineRule="exact"/>
        <w:rPr>
          <w:color w:val="000000" w:themeColor="text1"/>
          <w:sz w:val="22"/>
        </w:rPr>
      </w:pPr>
    </w:p>
    <w:sectPr w:rsidR="00F67752" w:rsidRPr="009F5CC9" w:rsidSect="009F5CC9">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C9"/>
    <w:rsid w:val="00471163"/>
    <w:rsid w:val="00640CEB"/>
    <w:rsid w:val="009F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9F5CC9"/>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uiPriority w:val="99"/>
    <w:semiHidden/>
    <w:rsid w:val="009F5CC9"/>
    <w:rPr>
      <w:rFonts w:ascii="宋体" w:eastAsia="宋体" w:hAnsi="宋体" w:cs="宋体"/>
      <w:kern w:val="0"/>
      <w:sz w:val="24"/>
      <w:szCs w:val="24"/>
    </w:rPr>
  </w:style>
  <w:style w:type="paragraph" w:styleId="a4">
    <w:name w:val="Normal (Web)"/>
    <w:basedOn w:val="a"/>
    <w:uiPriority w:val="99"/>
    <w:semiHidden/>
    <w:unhideWhenUsed/>
    <w:rsid w:val="009F5CC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9F5CC9"/>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uiPriority w:val="99"/>
    <w:semiHidden/>
    <w:rsid w:val="009F5CC9"/>
    <w:rPr>
      <w:rFonts w:ascii="宋体" w:eastAsia="宋体" w:hAnsi="宋体" w:cs="宋体"/>
      <w:kern w:val="0"/>
      <w:sz w:val="24"/>
      <w:szCs w:val="24"/>
    </w:rPr>
  </w:style>
  <w:style w:type="paragraph" w:styleId="a4">
    <w:name w:val="Normal (Web)"/>
    <w:basedOn w:val="a"/>
    <w:uiPriority w:val="99"/>
    <w:semiHidden/>
    <w:unhideWhenUsed/>
    <w:rsid w:val="009F5CC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262455">
      <w:bodyDiv w:val="1"/>
      <w:marLeft w:val="0"/>
      <w:marRight w:val="0"/>
      <w:marTop w:val="0"/>
      <w:marBottom w:val="0"/>
      <w:divBdr>
        <w:top w:val="none" w:sz="0" w:space="0" w:color="auto"/>
        <w:left w:val="none" w:sz="0" w:space="0" w:color="auto"/>
        <w:bottom w:val="none" w:sz="0" w:space="0" w:color="auto"/>
        <w:right w:val="none" w:sz="0" w:space="0" w:color="auto"/>
      </w:divBdr>
      <w:divsChild>
        <w:div w:id="1579093637">
          <w:marLeft w:val="0"/>
          <w:marRight w:val="0"/>
          <w:marTop w:val="0"/>
          <w:marBottom w:val="0"/>
          <w:divBdr>
            <w:top w:val="none" w:sz="0" w:space="0" w:color="auto"/>
            <w:left w:val="none" w:sz="0" w:space="0" w:color="auto"/>
            <w:bottom w:val="none" w:sz="0" w:space="0" w:color="auto"/>
            <w:right w:val="none" w:sz="0" w:space="0" w:color="auto"/>
          </w:divBdr>
        </w:div>
        <w:div w:id="187924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744</Words>
  <Characters>4243</Characters>
  <Application>Microsoft Office Word</Application>
  <DocSecurity>0</DocSecurity>
  <Lines>35</Lines>
  <Paragraphs>9</Paragraphs>
  <ScaleCrop>false</ScaleCrop>
  <Company>Microsoft</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刘忠</dc:creator>
  <cp:lastModifiedBy>刘忠</cp:lastModifiedBy>
  <cp:revision>1</cp:revision>
  <dcterms:created xsi:type="dcterms:W3CDTF">2020-12-31T02:53:00Z</dcterms:created>
  <dcterms:modified xsi:type="dcterms:W3CDTF">2020-12-31T02:56:00Z</dcterms:modified>
</cp:coreProperties>
</file>